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color w:val="856404"/>
          <w:sz w:val="18"/>
        </w:rPr>
        <w:t>SAMPLE DATA  Contoso Healthcare  For workshop demonstration only</w:t>
      </w:r>
    </w:p>
    <w:p>
      <w:pPr>
        <w:spacing w:after="80"/>
      </w:pPr>
      <w:r>
        <w:rPr>
          <w:i/>
          <w:sz w:val="18"/>
        </w:rPr>
        <w:t>INTERNAL USE ONLY — NOT FOR EXTERNAL DISTRIBUTION. Version 3.1 | Approved: Group Marketing Director | Effective: 1 April 2025. These guidelines govern all brand touchpoints across Contoso Healthcare Group hospitals, digital platforms, publications, uniforms, and partner communications.</w:t>
      </w:r>
    </w:p>
    <w:p>
      <w:pPr>
        <w:pStyle w:val="Heading1"/>
        <w:spacing w:before="280" w:after="120"/>
      </w:pPr>
      <w:r>
        <w:rPr>
          <w:color w:val="007B8A"/>
          <w:sz w:val="30"/>
        </w:rPr>
        <w:t>1. Brand Architecture and Hospital Portfolio</w:t>
      </w:r>
    </w:p>
    <w:p>
      <w:pPr>
        <w:pStyle w:val="Heading2"/>
        <w:spacing w:before="200" w:after="80"/>
      </w:pPr>
      <w:r>
        <w:rPr>
          <w:color w:val="003050"/>
          <w:sz w:val="24"/>
        </w:rPr>
        <w:t>1.1 Master Brand Strategy</w:t>
      </w:r>
    </w:p>
    <w:p>
      <w:pPr>
        <w:spacing w:after="120"/>
      </w:pPr>
      <w:r>
        <w:rPr>
          <w:b w:val="0"/>
          <w:i w:val="0"/>
          <w:sz w:val="20"/>
        </w:rPr>
        <w:t>Contoso Healthcare Group operates a "Branded House" architecture. All hospital entities trade under the Contoso brand with a city/region descriptor. This strategy maximises group brand equity, cross-referral, and enables Group-level marketing investment while retaining local community identity.</w:t>
      </w:r>
    </w:p>
    <w:p>
      <w:pPr>
        <w:pStyle w:val="Heading2"/>
        <w:spacing w:before="200" w:after="80"/>
      </w:pPr>
      <w:r>
        <w:rPr>
          <w:color w:val="003050"/>
          <w:sz w:val="24"/>
        </w:rPr>
        <w:t>1.2 Hospital Portfolio and Brand Tier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7B8A"/>
          </w:tcPr>
          <w:p>
            <w:pPr>
              <w:jc w:val="center"/>
            </w:pPr>
            <w:r>
              <w:rPr>
                <w:b/>
                <w:color w:val="FFFFFF"/>
                <w:sz w:val="18"/>
              </w:rPr>
              <w:t>Hospital</w:t>
            </w:r>
          </w:p>
        </w:tc>
        <w:tc>
          <w:tcPr>
            <w:tcW w:type="dxa" w:w="1881"/>
            <w:shd w:val="clear" w:color="auto" w:fill="007B8A"/>
          </w:tcPr>
          <w:p>
            <w:pPr>
              <w:jc w:val="center"/>
            </w:pPr>
            <w:r>
              <w:rPr>
                <w:b/>
                <w:color w:val="FFFFFF"/>
                <w:sz w:val="18"/>
              </w:rPr>
              <w:t>Tier</w:t>
            </w:r>
          </w:p>
        </w:tc>
        <w:tc>
          <w:tcPr>
            <w:tcW w:type="dxa" w:w="1881"/>
            <w:shd w:val="clear" w:color="auto" w:fill="007B8A"/>
          </w:tcPr>
          <w:p>
            <w:pPr>
              <w:jc w:val="center"/>
            </w:pPr>
            <w:r>
              <w:rPr>
                <w:b/>
                <w:color w:val="FFFFFF"/>
                <w:sz w:val="18"/>
              </w:rPr>
              <w:t>Positioning</w:t>
            </w:r>
          </w:p>
        </w:tc>
        <w:tc>
          <w:tcPr>
            <w:tcW w:type="dxa" w:w="1881"/>
            <w:shd w:val="clear" w:color="auto" w:fill="007B8A"/>
          </w:tcPr>
          <w:p>
            <w:pPr>
              <w:jc w:val="center"/>
            </w:pPr>
            <w:r>
              <w:rPr>
                <w:b/>
                <w:color w:val="FFFFFF"/>
                <w:sz w:val="18"/>
              </w:rPr>
              <w:t>Primary Catchment</w:t>
            </w:r>
          </w:p>
        </w:tc>
        <w:tc>
          <w:tcPr>
            <w:tcW w:type="dxa" w:w="1881"/>
            <w:shd w:val="clear" w:color="auto" w:fill="007B8A"/>
          </w:tcPr>
          <w:p>
            <w:pPr>
              <w:jc w:val="center"/>
            </w:pPr>
            <w:r>
              <w:rPr>
                <w:b/>
                <w:color w:val="FFFFFF"/>
                <w:sz w:val="18"/>
              </w:rPr>
              <w:t>Key Clinical Differentiator</w:t>
            </w:r>
          </w:p>
        </w:tc>
      </w:tr>
      <w:tr>
        <w:tc>
          <w:tcPr>
            <w:tcW w:type="dxa" w:w="1881"/>
            <w:shd w:val="clear" w:color="auto" w:fill="E8F4F5"/>
          </w:tcPr>
          <w:p>
            <w:r>
              <w:rPr>
                <w:sz w:val="18"/>
              </w:rPr>
              <w:t>Contoso General Hospital KL</w:t>
            </w:r>
          </w:p>
        </w:tc>
        <w:tc>
          <w:tcPr>
            <w:tcW w:type="dxa" w:w="1881"/>
            <w:shd w:val="clear" w:color="auto" w:fill="E8F4F5"/>
          </w:tcPr>
          <w:p>
            <w:r>
              <w:rPr>
                <w:sz w:val="18"/>
              </w:rPr>
              <w:t>Flagship (Tertiary+)</w:t>
            </w:r>
          </w:p>
        </w:tc>
        <w:tc>
          <w:tcPr>
            <w:tcW w:type="dxa" w:w="1881"/>
            <w:shd w:val="clear" w:color="auto" w:fill="E8F4F5"/>
          </w:tcPr>
          <w:p>
            <w:r>
              <w:rPr>
                <w:sz w:val="18"/>
              </w:rPr>
              <w:t>Premium quaternary care; medical tourism hub</w:t>
            </w:r>
          </w:p>
        </w:tc>
        <w:tc>
          <w:tcPr>
            <w:tcW w:type="dxa" w:w="1881"/>
            <w:shd w:val="clear" w:color="auto" w:fill="E8F4F5"/>
          </w:tcPr>
          <w:p>
            <w:r>
              <w:rPr>
                <w:sz w:val="18"/>
              </w:rPr>
              <w:t>Greater KL; ASEAN Medical Tourism</w:t>
            </w:r>
          </w:p>
        </w:tc>
        <w:tc>
          <w:tcPr>
            <w:tcW w:type="dxa" w:w="1881"/>
            <w:shd w:val="clear" w:color="auto" w:fill="E8F4F5"/>
          </w:tcPr>
          <w:p>
            <w:r>
              <w:rPr>
                <w:sz w:val="18"/>
              </w:rPr>
              <w:t>Oncology Centre of Excellence; Robotic Surgery; Level 1 Trauma</w:t>
            </w:r>
          </w:p>
        </w:tc>
      </w:tr>
      <w:tr>
        <w:tc>
          <w:tcPr>
            <w:tcW w:type="dxa" w:w="1881"/>
            <w:shd w:val="clear" w:color="auto" w:fill="FFFFFF"/>
          </w:tcPr>
          <w:p>
            <w:r>
              <w:rPr>
                <w:sz w:val="18"/>
              </w:rPr>
              <w:t>Contoso Specialist Centre PJ</w:t>
            </w:r>
          </w:p>
        </w:tc>
        <w:tc>
          <w:tcPr>
            <w:tcW w:type="dxa" w:w="1881"/>
            <w:shd w:val="clear" w:color="auto" w:fill="FFFFFF"/>
          </w:tcPr>
          <w:p>
            <w:r>
              <w:rPr>
                <w:sz w:val="18"/>
              </w:rPr>
              <w:t>Regional Hub (Tertiary)</w:t>
            </w:r>
          </w:p>
        </w:tc>
        <w:tc>
          <w:tcPr>
            <w:tcW w:type="dxa" w:w="1881"/>
            <w:shd w:val="clear" w:color="auto" w:fill="FFFFFF"/>
          </w:tcPr>
          <w:p>
            <w:r>
              <w:rPr>
                <w:sz w:val="18"/>
              </w:rPr>
              <w:t>Specialist-led; evidence-based medicine</w:t>
            </w:r>
          </w:p>
        </w:tc>
        <w:tc>
          <w:tcPr>
            <w:tcW w:type="dxa" w:w="1881"/>
            <w:shd w:val="clear" w:color="auto" w:fill="FFFFFF"/>
          </w:tcPr>
          <w:p>
            <w:r>
              <w:rPr>
                <w:sz w:val="18"/>
              </w:rPr>
              <w:t>Petaling Jaya; Subang; Shah Alam</w:t>
            </w:r>
          </w:p>
        </w:tc>
        <w:tc>
          <w:tcPr>
            <w:tcW w:type="dxa" w:w="1881"/>
            <w:shd w:val="clear" w:color="auto" w:fill="FFFFFF"/>
          </w:tcPr>
          <w:p>
            <w:r>
              <w:rPr>
                <w:sz w:val="18"/>
              </w:rPr>
              <w:t>Cardiac Centre; Neurosurgery; Orthopaedic Centre of Excellence</w:t>
            </w:r>
          </w:p>
        </w:tc>
      </w:tr>
      <w:tr>
        <w:tc>
          <w:tcPr>
            <w:tcW w:type="dxa" w:w="1881"/>
            <w:shd w:val="clear" w:color="auto" w:fill="E8F4F5"/>
          </w:tcPr>
          <w:p>
            <w:r>
              <w:rPr>
                <w:sz w:val="18"/>
              </w:rPr>
              <w:t>Contoso Medical Centre Penang</w:t>
            </w:r>
          </w:p>
        </w:tc>
        <w:tc>
          <w:tcPr>
            <w:tcW w:type="dxa" w:w="1881"/>
            <w:shd w:val="clear" w:color="auto" w:fill="E8F4F5"/>
          </w:tcPr>
          <w:p>
            <w:r>
              <w:rPr>
                <w:sz w:val="18"/>
              </w:rPr>
              <w:t>Regional Hub (Tertiary)</w:t>
            </w:r>
          </w:p>
        </w:tc>
        <w:tc>
          <w:tcPr>
            <w:tcW w:type="dxa" w:w="1881"/>
            <w:shd w:val="clear" w:color="auto" w:fill="E8F4F5"/>
          </w:tcPr>
          <w:p>
            <w:r>
              <w:rPr>
                <w:sz w:val="18"/>
              </w:rPr>
              <w:t>Gateway to Northern Malaysia; Penang Medical Tourism</w:t>
            </w:r>
          </w:p>
        </w:tc>
        <w:tc>
          <w:tcPr>
            <w:tcW w:type="dxa" w:w="1881"/>
            <w:shd w:val="clear" w:color="auto" w:fill="E8F4F5"/>
          </w:tcPr>
          <w:p>
            <w:r>
              <w:rPr>
                <w:sz w:val="18"/>
              </w:rPr>
              <w:t>Penang; Kedah; Northern Thailand referrals</w:t>
            </w:r>
          </w:p>
        </w:tc>
        <w:tc>
          <w:tcPr>
            <w:tcW w:type="dxa" w:w="1881"/>
            <w:shd w:val="clear" w:color="auto" w:fill="E8F4F5"/>
          </w:tcPr>
          <w:p>
            <w:r>
              <w:rPr>
                <w:sz w:val="18"/>
              </w:rPr>
              <w:t>Oncology; Ophthalmology; Women &amp; Children Centre</w:t>
            </w:r>
          </w:p>
        </w:tc>
      </w:tr>
      <w:tr>
        <w:tc>
          <w:tcPr>
            <w:tcW w:type="dxa" w:w="1881"/>
            <w:shd w:val="clear" w:color="auto" w:fill="FFFFFF"/>
          </w:tcPr>
          <w:p>
            <w:r>
              <w:rPr>
                <w:sz w:val="18"/>
              </w:rPr>
              <w:t>Contoso City Hospital JB</w:t>
            </w:r>
          </w:p>
        </w:tc>
        <w:tc>
          <w:tcPr>
            <w:tcW w:type="dxa" w:w="1881"/>
            <w:shd w:val="clear" w:color="auto" w:fill="FFFFFF"/>
          </w:tcPr>
          <w:p>
            <w:r>
              <w:rPr>
                <w:sz w:val="18"/>
              </w:rPr>
              <w:t>Regional Hub (Secondary/Tertiary)</w:t>
            </w:r>
          </w:p>
        </w:tc>
        <w:tc>
          <w:tcPr>
            <w:tcW w:type="dxa" w:w="1881"/>
            <w:shd w:val="clear" w:color="auto" w:fill="FFFFFF"/>
          </w:tcPr>
          <w:p>
            <w:r>
              <w:rPr>
                <w:sz w:val="18"/>
              </w:rPr>
              <w:t>Serving the JB-Singapore healthcare corridor</w:t>
            </w:r>
          </w:p>
        </w:tc>
        <w:tc>
          <w:tcPr>
            <w:tcW w:type="dxa" w:w="1881"/>
            <w:shd w:val="clear" w:color="auto" w:fill="FFFFFF"/>
          </w:tcPr>
          <w:p>
            <w:r>
              <w:rPr>
                <w:sz w:val="18"/>
              </w:rPr>
              <w:t>Johor Bahru; Singapore overflow</w:t>
            </w:r>
          </w:p>
        </w:tc>
        <w:tc>
          <w:tcPr>
            <w:tcW w:type="dxa" w:w="1881"/>
            <w:shd w:val="clear" w:color="auto" w:fill="FFFFFF"/>
          </w:tcPr>
          <w:p>
            <w:r>
              <w:rPr>
                <w:sz w:val="18"/>
              </w:rPr>
              <w:t>Emergency Medicine; Cross-border care protocols; Cardiac</w:t>
            </w:r>
          </w:p>
        </w:tc>
      </w:tr>
      <w:tr>
        <w:tc>
          <w:tcPr>
            <w:tcW w:type="dxa" w:w="1881"/>
            <w:shd w:val="clear" w:color="auto" w:fill="E8F4F5"/>
          </w:tcPr>
          <w:p>
            <w:r>
              <w:rPr>
                <w:sz w:val="18"/>
              </w:rPr>
              <w:t>Contoso Regional Hospital Ipoh</w:t>
            </w:r>
          </w:p>
        </w:tc>
        <w:tc>
          <w:tcPr>
            <w:tcW w:type="dxa" w:w="1881"/>
            <w:shd w:val="clear" w:color="auto" w:fill="E8F4F5"/>
          </w:tcPr>
          <w:p>
            <w:r>
              <w:rPr>
                <w:sz w:val="18"/>
              </w:rPr>
              <w:t>Secondary</w:t>
            </w:r>
          </w:p>
        </w:tc>
        <w:tc>
          <w:tcPr>
            <w:tcW w:type="dxa" w:w="1881"/>
            <w:shd w:val="clear" w:color="auto" w:fill="E8F4F5"/>
          </w:tcPr>
          <w:p>
            <w:r>
              <w:rPr>
                <w:sz w:val="18"/>
              </w:rPr>
              <w:t>Community-anchored care for Perak</w:t>
            </w:r>
          </w:p>
        </w:tc>
        <w:tc>
          <w:tcPr>
            <w:tcW w:type="dxa" w:w="1881"/>
            <w:shd w:val="clear" w:color="auto" w:fill="E8F4F5"/>
          </w:tcPr>
          <w:p>
            <w:r>
              <w:rPr>
                <w:sz w:val="18"/>
              </w:rPr>
              <w:t>Ipoh; Perak region</w:t>
            </w:r>
          </w:p>
        </w:tc>
        <w:tc>
          <w:tcPr>
            <w:tcW w:type="dxa" w:w="1881"/>
            <w:shd w:val="clear" w:color="auto" w:fill="E8F4F5"/>
          </w:tcPr>
          <w:p>
            <w:r>
              <w:rPr>
                <w:sz w:val="18"/>
              </w:rPr>
              <w:t>Dialysis Centre; Geriatrics; General Surgery</w:t>
            </w:r>
          </w:p>
        </w:tc>
      </w:tr>
      <w:tr>
        <w:tc>
          <w:tcPr>
            <w:tcW w:type="dxa" w:w="1881"/>
            <w:shd w:val="clear" w:color="auto" w:fill="FFFFFF"/>
          </w:tcPr>
          <w:p>
            <w:r>
              <w:rPr>
                <w:sz w:val="18"/>
              </w:rPr>
              <w:t>Contoso Community Hospital Subang</w:t>
            </w:r>
          </w:p>
        </w:tc>
        <w:tc>
          <w:tcPr>
            <w:tcW w:type="dxa" w:w="1881"/>
            <w:shd w:val="clear" w:color="auto" w:fill="FFFFFF"/>
          </w:tcPr>
          <w:p>
            <w:r>
              <w:rPr>
                <w:sz w:val="18"/>
              </w:rPr>
              <w:t>Community (Secondary — Ramp Up)</w:t>
            </w:r>
          </w:p>
        </w:tc>
        <w:tc>
          <w:tcPr>
            <w:tcW w:type="dxa" w:w="1881"/>
            <w:shd w:val="clear" w:color="auto" w:fill="FFFFFF"/>
          </w:tcPr>
          <w:p>
            <w:r>
              <w:rPr>
                <w:sz w:val="18"/>
              </w:rPr>
              <w:t>Accessible, affordable community care</w:t>
            </w:r>
          </w:p>
        </w:tc>
        <w:tc>
          <w:tcPr>
            <w:tcW w:type="dxa" w:w="1881"/>
            <w:shd w:val="clear" w:color="auto" w:fill="FFFFFF"/>
          </w:tcPr>
          <w:p>
            <w:r>
              <w:rPr>
                <w:sz w:val="18"/>
              </w:rPr>
              <w:t>Subang Jaya; USJ; Sunway (emerging)</w:t>
            </w:r>
          </w:p>
        </w:tc>
        <w:tc>
          <w:tcPr>
            <w:tcW w:type="dxa" w:w="1881"/>
            <w:shd w:val="clear" w:color="auto" w:fill="FFFFFF"/>
          </w:tcPr>
          <w:p>
            <w:r>
              <w:rPr>
                <w:sz w:val="18"/>
              </w:rPr>
              <w:t>General Practice; Maternity; Paediatrics</w:t>
            </w:r>
          </w:p>
        </w:tc>
      </w:tr>
    </w:tbl>
    <w:p/>
    <w:p>
      <w:pPr>
        <w:pStyle w:val="Heading2"/>
        <w:spacing w:before="200" w:after="80"/>
      </w:pPr>
      <w:r>
        <w:rPr>
          <w:color w:val="003050"/>
          <w:sz w:val="24"/>
        </w:rPr>
        <w:t>1.3 Brand Tagline</w:t>
      </w:r>
    </w:p>
    <w:p>
      <w:pPr>
        <w:spacing w:after="120"/>
      </w:pPr>
      <w:r>
        <w:rPr>
          <w:b w:val="0"/>
          <w:i w:val="0"/>
          <w:sz w:val="20"/>
        </w:rPr>
        <w:t>Group tagline: "Caring Beyond Boundaries" — emphasising clinical excellence, patient-centred care, and geographic reach across Malaysia.</w:t>
      </w:r>
    </w:p>
    <w:p>
      <w:pPr>
        <w:spacing w:after="120"/>
      </w:pPr>
      <w:r>
        <w:rPr>
          <w:b w:val="0"/>
          <w:i w:val="0"/>
          <w:sz w:val="20"/>
        </w:rPr>
        <w:t>Hospital-level straplines may be used in local campaigns with Group Marketing Director approval. Example: Contoso General Hospital KL — "Where Malaysia Comes for Complex Care".</w:t>
      </w:r>
    </w:p>
    <w:p>
      <w:pPr>
        <w:pStyle w:val="Heading1"/>
        <w:spacing w:before="280" w:after="120"/>
      </w:pPr>
      <w:r>
        <w:rPr>
          <w:color w:val="007B8A"/>
          <w:sz w:val="30"/>
        </w:rPr>
        <w:t>2. Logo and Symbol Usage</w:t>
      </w:r>
    </w:p>
    <w:p>
      <w:pPr>
        <w:pStyle w:val="Heading2"/>
        <w:spacing w:before="200" w:after="80"/>
      </w:pPr>
      <w:r>
        <w:rPr>
          <w:color w:val="003050"/>
          <w:sz w:val="24"/>
        </w:rPr>
        <w:t>2.1 Primary Logo Elements</w:t>
      </w:r>
    </w:p>
    <w:p>
      <w:pPr>
        <w:spacing w:after="120"/>
      </w:pPr>
      <w:r>
        <w:rPr>
          <w:b w:val="0"/>
          <w:i w:val="0"/>
          <w:sz w:val="20"/>
        </w:rPr>
        <w:t>The Contoso Healthcare Group logo comprises three elements: (1) the Contoso Symbol (a stylised double-arc representing continuity of care and the letter C); (2) the Wordmark "Contoso Healthcare Group" in Graphik SemiBold; (3) the hospital name in Graphik Regular for hospital-level applications.</w:t>
      </w:r>
    </w:p>
    <w:p>
      <w:pPr>
        <w:pStyle w:val="Heading2"/>
        <w:spacing w:before="200" w:after="80"/>
      </w:pPr>
      <w:r>
        <w:rPr>
          <w:color w:val="003050"/>
          <w:sz w:val="24"/>
        </w:rPr>
        <w:t>2.2 Minimum Clear Space</w:t>
      </w:r>
    </w:p>
    <w:p>
      <w:pPr>
        <w:spacing w:after="120"/>
      </w:pPr>
      <w:r>
        <w:rPr>
          <w:b w:val="0"/>
          <w:i w:val="0"/>
          <w:sz w:val="20"/>
        </w:rPr>
        <w:t>The logo must always be surrounded by a minimum clear space equal to the height of the capital letter 'C' in the wordmark (referred to as 1x). No text, graphic, or design element may appear within this clear space.</w:t>
      </w:r>
    </w:p>
    <w:p>
      <w:pPr>
        <w:pStyle w:val="Heading2"/>
        <w:spacing w:before="200" w:after="80"/>
      </w:pPr>
      <w:r>
        <w:rPr>
          <w:color w:val="003050"/>
          <w:sz w:val="24"/>
        </w:rPr>
        <w:t>2.3 Logo Placement Rules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7B8A"/>
          </w:tcPr>
          <w:p>
            <w:pPr>
              <w:jc w:val="center"/>
            </w:pPr>
            <w:r>
              <w:rPr>
                <w:b/>
                <w:color w:val="FFFFFF"/>
                <w:sz w:val="18"/>
              </w:rPr>
              <w:t>Medium</w:t>
            </w:r>
          </w:p>
        </w:tc>
        <w:tc>
          <w:tcPr>
            <w:tcW w:type="dxa" w:w="3135"/>
            <w:shd w:val="clear" w:color="auto" w:fill="007B8A"/>
          </w:tcPr>
          <w:p>
            <w:pPr>
              <w:jc w:val="center"/>
            </w:pPr>
            <w:r>
              <w:rPr>
                <w:b/>
                <w:color w:val="FFFFFF"/>
                <w:sz w:val="18"/>
              </w:rPr>
              <w:t>Approved Placement</w:t>
            </w:r>
          </w:p>
        </w:tc>
        <w:tc>
          <w:tcPr>
            <w:tcW w:type="dxa" w:w="3135"/>
            <w:shd w:val="clear" w:color="auto" w:fill="007B8A"/>
          </w:tcPr>
          <w:p>
            <w:pPr>
              <w:jc w:val="center"/>
            </w:pPr>
            <w:r>
              <w:rPr>
                <w:b/>
                <w:color w:val="FFFFFF"/>
                <w:sz w:val="18"/>
              </w:rPr>
              <w:t>Prohibited</w:t>
            </w:r>
          </w:p>
        </w:tc>
      </w:tr>
      <w:tr>
        <w:tc>
          <w:tcPr>
            <w:tcW w:type="dxa" w:w="3135"/>
            <w:shd w:val="clear" w:color="auto" w:fill="E8F4F5"/>
          </w:tcPr>
          <w:p>
            <w:r>
              <w:rPr>
                <w:sz w:val="18"/>
              </w:rPr>
              <w:t>Print (letterhead, brochures)</w:t>
            </w:r>
          </w:p>
        </w:tc>
        <w:tc>
          <w:tcPr>
            <w:tcW w:type="dxa" w:w="3135"/>
            <w:shd w:val="clear" w:color="auto" w:fill="E8F4F5"/>
          </w:tcPr>
          <w:p>
            <w:r>
              <w:rPr>
                <w:sz w:val="18"/>
              </w:rPr>
              <w:t>Top-left (primary); bottom-centre (co-branded)</w:t>
            </w:r>
          </w:p>
        </w:tc>
        <w:tc>
          <w:tcPr>
            <w:tcW w:type="dxa" w:w="3135"/>
            <w:shd w:val="clear" w:color="auto" w:fill="E8F4F5"/>
          </w:tcPr>
          <w:p>
            <w:r>
              <w:rPr>
                <w:sz w:val="18"/>
              </w:rPr>
              <w:t>Rotating; stretching; recolouring; drop shadow</w:t>
            </w:r>
          </w:p>
        </w:tc>
      </w:tr>
      <w:tr>
        <w:tc>
          <w:tcPr>
            <w:tcW w:type="dxa" w:w="3135"/>
            <w:shd w:val="clear" w:color="auto" w:fill="FFFFFF"/>
          </w:tcPr>
          <w:p>
            <w:r>
              <w:rPr>
                <w:sz w:val="18"/>
              </w:rPr>
              <w:t>Digital (website header)</w:t>
            </w:r>
          </w:p>
        </w:tc>
        <w:tc>
          <w:tcPr>
            <w:tcW w:type="dxa" w:w="3135"/>
            <w:shd w:val="clear" w:color="auto" w:fill="FFFFFF"/>
          </w:tcPr>
          <w:p>
            <w:r>
              <w:rPr>
                <w:sz w:val="18"/>
              </w:rPr>
              <w:t>Top-left; minimum 120px width</w:t>
            </w:r>
          </w:p>
        </w:tc>
        <w:tc>
          <w:tcPr>
            <w:tcW w:type="dxa" w:w="3135"/>
            <w:shd w:val="clear" w:color="auto" w:fill="FFFFFF"/>
          </w:tcPr>
          <w:p>
            <w:r>
              <w:rPr>
                <w:sz w:val="18"/>
              </w:rPr>
              <w:t>Animated versions without approval; placing on busy photography</w:t>
            </w:r>
          </w:p>
        </w:tc>
      </w:tr>
      <w:tr>
        <w:tc>
          <w:tcPr>
            <w:tcW w:type="dxa" w:w="3135"/>
            <w:shd w:val="clear" w:color="auto" w:fill="E8F4F5"/>
          </w:tcPr>
          <w:p>
            <w:r>
              <w:rPr>
                <w:sz w:val="18"/>
              </w:rPr>
              <w:t>Uniforms</w:t>
            </w:r>
          </w:p>
        </w:tc>
        <w:tc>
          <w:tcPr>
            <w:tcW w:type="dxa" w:w="3135"/>
            <w:shd w:val="clear" w:color="auto" w:fill="E8F4F5"/>
          </w:tcPr>
          <w:p>
            <w:r>
              <w:rPr>
                <w:sz w:val="18"/>
              </w:rPr>
              <w:t>Left chest (embroidered); minimum badge size 30mm width</w:t>
            </w:r>
          </w:p>
        </w:tc>
        <w:tc>
          <w:tcPr>
            <w:tcW w:type="dxa" w:w="3135"/>
            <w:shd w:val="clear" w:color="auto" w:fill="E8F4F5"/>
          </w:tcPr>
          <w:p>
            <w:r>
              <w:rPr>
                <w:sz w:val="18"/>
              </w:rPr>
              <w:t>Screen printing in non-approved colours</w:t>
            </w:r>
          </w:p>
        </w:tc>
      </w:tr>
      <w:tr>
        <w:tc>
          <w:tcPr>
            <w:tcW w:type="dxa" w:w="3135"/>
            <w:shd w:val="clear" w:color="auto" w:fill="FFFFFF"/>
          </w:tcPr>
          <w:p>
            <w:r>
              <w:rPr>
                <w:sz w:val="18"/>
              </w:rPr>
              <w:t>Wayfinding signage</w:t>
            </w:r>
          </w:p>
        </w:tc>
        <w:tc>
          <w:tcPr>
            <w:tcW w:type="dxa" w:w="3135"/>
            <w:shd w:val="clear" w:color="auto" w:fill="FFFFFF"/>
          </w:tcPr>
          <w:p>
            <w:r>
              <w:rPr>
                <w:sz w:val="18"/>
              </w:rPr>
              <w:t>Top or left panel; white reversed logo on teal panel</w:t>
            </w:r>
          </w:p>
        </w:tc>
        <w:tc>
          <w:tcPr>
            <w:tcW w:type="dxa" w:w="3135"/>
            <w:shd w:val="clear" w:color="auto" w:fill="FFFFFF"/>
          </w:tcPr>
          <w:p>
            <w:r>
              <w:rPr>
                <w:sz w:val="18"/>
              </w:rPr>
              <w:t>Isolating the symbol without wordmark in public-facing contexts</w:t>
            </w:r>
          </w:p>
        </w:tc>
      </w:tr>
      <w:tr>
        <w:tc>
          <w:tcPr>
            <w:tcW w:type="dxa" w:w="3135"/>
            <w:shd w:val="clear" w:color="auto" w:fill="E8F4F5"/>
          </w:tcPr>
          <w:p>
            <w:r>
              <w:rPr>
                <w:sz w:val="18"/>
              </w:rPr>
              <w:t>Co-branded (partnerships, events)</w:t>
            </w:r>
          </w:p>
        </w:tc>
        <w:tc>
          <w:tcPr>
            <w:tcW w:type="dxa" w:w="3135"/>
            <w:shd w:val="clear" w:color="auto" w:fill="E8F4F5"/>
          </w:tcPr>
          <w:p>
            <w:r>
              <w:rPr>
                <w:sz w:val="18"/>
              </w:rPr>
              <w:t>Contoso logo left/top; partner right/below; equal sizing</w:t>
            </w:r>
          </w:p>
        </w:tc>
        <w:tc>
          <w:tcPr>
            <w:tcW w:type="dxa" w:w="3135"/>
            <w:shd w:val="clear" w:color="auto" w:fill="E8F4F5"/>
          </w:tcPr>
          <w:p>
            <w:r>
              <w:rPr>
                <w:sz w:val="18"/>
              </w:rPr>
              <w:t>Partner logo appearing more prominent than Contoso logo</w:t>
            </w:r>
          </w:p>
        </w:tc>
      </w:tr>
      <w:tr>
        <w:tc>
          <w:tcPr>
            <w:tcW w:type="dxa" w:w="3135"/>
            <w:shd w:val="clear" w:color="auto" w:fill="FFFFFF"/>
          </w:tcPr>
          <w:p>
            <w:r>
              <w:rPr>
                <w:sz w:val="18"/>
              </w:rPr>
              <w:t>Social media profile</w:t>
            </w:r>
          </w:p>
        </w:tc>
        <w:tc>
          <w:tcPr>
            <w:tcW w:type="dxa" w:w="3135"/>
            <w:shd w:val="clear" w:color="auto" w:fill="FFFFFF"/>
          </w:tcPr>
          <w:p>
            <w:r>
              <w:rPr>
                <w:sz w:val="18"/>
              </w:rPr>
              <w:t>Square icon: Contoso symbol on teal background</w:t>
            </w:r>
          </w:p>
        </w:tc>
        <w:tc>
          <w:tcPr>
            <w:tcW w:type="dxa" w:w="3135"/>
            <w:shd w:val="clear" w:color="auto" w:fill="FFFFFF"/>
          </w:tcPr>
          <w:p>
            <w:r>
              <w:rPr>
                <w:sz w:val="18"/>
              </w:rPr>
              <w:t>Wordmark-only without symbol in profile icon position</w:t>
            </w:r>
          </w:p>
        </w:tc>
      </w:tr>
    </w:tbl>
    <w:p/>
    <w:p>
      <w:pPr>
        <w:pStyle w:val="Heading2"/>
        <w:spacing w:before="200" w:after="80"/>
      </w:pPr>
      <w:r>
        <w:rPr>
          <w:color w:val="003050"/>
          <w:sz w:val="24"/>
        </w:rPr>
        <w:t>2.4 Prohibited Logo Modifications</w:t>
      </w:r>
    </w:p>
    <w:p>
      <w:pPr>
        <w:pStyle w:val="ListBullet"/>
        <w:spacing w:after="40"/>
      </w:pPr>
      <w:r>
        <w:rPr>
          <w:sz w:val="20"/>
        </w:rPr>
        <w:t>Do NOT alter proportions, spacing, or colours of any logo element.</w:t>
      </w:r>
    </w:p>
    <w:p>
      <w:pPr>
        <w:pStyle w:val="ListBullet"/>
        <w:spacing w:after="40"/>
      </w:pPr>
      <w:r>
        <w:rPr>
          <w:sz w:val="20"/>
        </w:rPr>
        <w:t>Do NOT use drop shadows, gradients, outlines, or glows on the logo.</w:t>
      </w:r>
    </w:p>
    <w:p>
      <w:pPr>
        <w:pStyle w:val="ListBullet"/>
        <w:spacing w:after="40"/>
      </w:pPr>
      <w:r>
        <w:rPr>
          <w:sz w:val="20"/>
        </w:rPr>
        <w:t>Do NOT place the logo over a background that reduces contrast below WCAG AA ratio (4.5:1).</w:t>
      </w:r>
    </w:p>
    <w:p>
      <w:pPr>
        <w:pStyle w:val="ListBullet"/>
        <w:spacing w:after="40"/>
      </w:pPr>
      <w:r>
        <w:rPr>
          <w:sz w:val="20"/>
        </w:rPr>
        <w:t>Do NOT recreate the logo from scratch — only use approved master files from the Brand Asset Library on SharePoint.</w:t>
      </w:r>
    </w:p>
    <w:p>
      <w:pPr>
        <w:pStyle w:val="ListBullet"/>
        <w:spacing w:after="40"/>
      </w:pPr>
      <w:r>
        <w:rPr>
          <w:sz w:val="20"/>
        </w:rPr>
        <w:t>Do NOT use the logo on merchandise, external partnerships, or event materials without Group Marketing approval.</w:t>
      </w:r>
    </w:p>
    <w:p>
      <w:pPr>
        <w:pStyle w:val="Heading1"/>
        <w:spacing w:before="280" w:after="120"/>
      </w:pPr>
      <w:r>
        <w:rPr>
          <w:color w:val="007B8A"/>
          <w:sz w:val="30"/>
        </w:rPr>
        <w:t>3. Colour Palette</w:t>
      </w:r>
    </w:p>
    <w:p>
      <w:pPr>
        <w:pStyle w:val="Heading2"/>
        <w:spacing w:before="200" w:after="80"/>
      </w:pPr>
      <w:r>
        <w:rPr>
          <w:color w:val="003050"/>
          <w:sz w:val="24"/>
        </w:rPr>
        <w:t>3.1 Primary Brand Colours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007B8A"/>
          </w:tcPr>
          <w:p>
            <w:pPr>
              <w:jc w:val="center"/>
            </w:pPr>
            <w:r>
              <w:rPr>
                <w:b/>
                <w:color w:val="FFFFFF"/>
                <w:sz w:val="18"/>
              </w:rPr>
              <w:t>Colour Name</w:t>
            </w:r>
          </w:p>
        </w:tc>
        <w:tc>
          <w:tcPr>
            <w:tcW w:type="dxa" w:w="1344"/>
            <w:shd w:val="clear" w:color="auto" w:fill="007B8A"/>
          </w:tcPr>
          <w:p>
            <w:pPr>
              <w:jc w:val="center"/>
            </w:pPr>
            <w:r>
              <w:rPr>
                <w:b/>
                <w:color w:val="FFFFFF"/>
                <w:sz w:val="18"/>
              </w:rPr>
              <w:t>Role</w:t>
            </w:r>
          </w:p>
        </w:tc>
        <w:tc>
          <w:tcPr>
            <w:tcW w:type="dxa" w:w="1344"/>
            <w:shd w:val="clear" w:color="auto" w:fill="007B8A"/>
          </w:tcPr>
          <w:p>
            <w:pPr>
              <w:jc w:val="center"/>
            </w:pPr>
            <w:r>
              <w:rPr>
                <w:b/>
                <w:color w:val="FFFFFF"/>
                <w:sz w:val="18"/>
              </w:rPr>
              <w:t>HEX</w:t>
            </w:r>
          </w:p>
        </w:tc>
        <w:tc>
          <w:tcPr>
            <w:tcW w:type="dxa" w:w="1344"/>
            <w:shd w:val="clear" w:color="auto" w:fill="007B8A"/>
          </w:tcPr>
          <w:p>
            <w:pPr>
              <w:jc w:val="center"/>
            </w:pPr>
            <w:r>
              <w:rPr>
                <w:b/>
                <w:color w:val="FFFFFF"/>
                <w:sz w:val="18"/>
              </w:rPr>
              <w:t>RGB</w:t>
            </w:r>
          </w:p>
        </w:tc>
        <w:tc>
          <w:tcPr>
            <w:tcW w:type="dxa" w:w="1344"/>
            <w:shd w:val="clear" w:color="auto" w:fill="007B8A"/>
          </w:tcPr>
          <w:p>
            <w:pPr>
              <w:jc w:val="center"/>
            </w:pPr>
            <w:r>
              <w:rPr>
                <w:b/>
                <w:color w:val="FFFFFF"/>
                <w:sz w:val="18"/>
              </w:rPr>
              <w:t>CMYK</w:t>
            </w:r>
          </w:p>
        </w:tc>
        <w:tc>
          <w:tcPr>
            <w:tcW w:type="dxa" w:w="1344"/>
            <w:shd w:val="clear" w:color="auto" w:fill="007B8A"/>
          </w:tcPr>
          <w:p>
            <w:pPr>
              <w:jc w:val="center"/>
            </w:pPr>
            <w:r>
              <w:rPr>
                <w:b/>
                <w:color w:val="FFFFFF"/>
                <w:sz w:val="18"/>
              </w:rPr>
              <w:t>Pantone</w:t>
            </w:r>
          </w:p>
        </w:tc>
        <w:tc>
          <w:tcPr>
            <w:tcW w:type="dxa" w:w="1344"/>
            <w:shd w:val="clear" w:color="auto" w:fill="007B8A"/>
          </w:tcPr>
          <w:p>
            <w:pPr>
              <w:jc w:val="center"/>
            </w:pPr>
            <w:r>
              <w:rPr>
                <w:b/>
                <w:color w:val="FFFFFF"/>
                <w:sz w:val="18"/>
              </w:rPr>
              <w:t>Usage</w:t>
            </w:r>
          </w:p>
        </w:tc>
      </w:tr>
      <w:tr>
        <w:tc>
          <w:tcPr>
            <w:tcW w:type="dxa" w:w="1344"/>
            <w:shd w:val="clear" w:color="auto" w:fill="E8F4F5"/>
          </w:tcPr>
          <w:p>
            <w:r>
              <w:rPr>
                <w:sz w:val="18"/>
              </w:rPr>
              <w:t>Contoso Teal</w:t>
            </w:r>
          </w:p>
        </w:tc>
        <w:tc>
          <w:tcPr>
            <w:tcW w:type="dxa" w:w="1344"/>
            <w:shd w:val="clear" w:color="auto" w:fill="E8F4F5"/>
          </w:tcPr>
          <w:p>
            <w:r>
              <w:rPr>
                <w:sz w:val="18"/>
              </w:rPr>
              <w:t>Primary; trust; health</w:t>
            </w:r>
          </w:p>
        </w:tc>
        <w:tc>
          <w:tcPr>
            <w:tcW w:type="dxa" w:w="1344"/>
            <w:shd w:val="clear" w:color="auto" w:fill="E8F4F5"/>
          </w:tcPr>
          <w:p>
            <w:r>
              <w:rPr>
                <w:sz w:val="18"/>
              </w:rPr>
              <w:t>#007B8A</w:t>
            </w:r>
          </w:p>
        </w:tc>
        <w:tc>
          <w:tcPr>
            <w:tcW w:type="dxa" w:w="1344"/>
            <w:shd w:val="clear" w:color="auto" w:fill="E8F4F5"/>
          </w:tcPr>
          <w:p>
            <w:r>
              <w:rPr>
                <w:sz w:val="18"/>
              </w:rPr>
              <w:t>R0 G123 B138</w:t>
            </w:r>
          </w:p>
        </w:tc>
        <w:tc>
          <w:tcPr>
            <w:tcW w:type="dxa" w:w="1344"/>
            <w:shd w:val="clear" w:color="auto" w:fill="E8F4F5"/>
          </w:tcPr>
          <w:p>
            <w:r>
              <w:rPr>
                <w:sz w:val="18"/>
              </w:rPr>
              <w:t>C87 M12 Y28 K3</w:t>
            </w:r>
          </w:p>
        </w:tc>
        <w:tc>
          <w:tcPr>
            <w:tcW w:type="dxa" w:w="1344"/>
            <w:shd w:val="clear" w:color="auto" w:fill="E8F4F5"/>
          </w:tcPr>
          <w:p>
            <w:r>
              <w:rPr>
                <w:sz w:val="18"/>
              </w:rPr>
              <w:t>PMS 7474 C</w:t>
            </w:r>
          </w:p>
        </w:tc>
        <w:tc>
          <w:tcPr>
            <w:tcW w:type="dxa" w:w="1344"/>
            <w:shd w:val="clear" w:color="auto" w:fill="E8F4F5"/>
          </w:tcPr>
          <w:p>
            <w:r>
              <w:rPr>
                <w:sz w:val="18"/>
              </w:rPr>
              <w:t>Logo; headers; primary CTAs; wayfinding signage</w:t>
            </w:r>
          </w:p>
        </w:tc>
      </w:tr>
      <w:tr>
        <w:tc>
          <w:tcPr>
            <w:tcW w:type="dxa" w:w="1344"/>
            <w:shd w:val="clear" w:color="auto" w:fill="FFFFFF"/>
          </w:tcPr>
          <w:p>
            <w:r>
              <w:rPr>
                <w:sz w:val="18"/>
              </w:rPr>
              <w:t>Contoso Navy</w:t>
            </w:r>
          </w:p>
        </w:tc>
        <w:tc>
          <w:tcPr>
            <w:tcW w:type="dxa" w:w="1344"/>
            <w:shd w:val="clear" w:color="auto" w:fill="FFFFFF"/>
          </w:tcPr>
          <w:p>
            <w:r>
              <w:rPr>
                <w:sz w:val="18"/>
              </w:rPr>
              <w:t>Secondary; authority; depth</w:t>
            </w:r>
          </w:p>
        </w:tc>
        <w:tc>
          <w:tcPr>
            <w:tcW w:type="dxa" w:w="1344"/>
            <w:shd w:val="clear" w:color="auto" w:fill="FFFFFF"/>
          </w:tcPr>
          <w:p>
            <w:r>
              <w:rPr>
                <w:sz w:val="18"/>
              </w:rPr>
              <w:t>#003050</w:t>
            </w:r>
          </w:p>
        </w:tc>
        <w:tc>
          <w:tcPr>
            <w:tcW w:type="dxa" w:w="1344"/>
            <w:shd w:val="clear" w:color="auto" w:fill="FFFFFF"/>
          </w:tcPr>
          <w:p>
            <w:r>
              <w:rPr>
                <w:sz w:val="18"/>
              </w:rPr>
              <w:t>R0 G48 B80</w:t>
            </w:r>
          </w:p>
        </w:tc>
        <w:tc>
          <w:tcPr>
            <w:tcW w:type="dxa" w:w="1344"/>
            <w:shd w:val="clear" w:color="auto" w:fill="FFFFFF"/>
          </w:tcPr>
          <w:p>
            <w:r>
              <w:rPr>
                <w:sz w:val="18"/>
              </w:rPr>
              <w:t>C100 M70 Y20 K45</w:t>
            </w:r>
          </w:p>
        </w:tc>
        <w:tc>
          <w:tcPr>
            <w:tcW w:type="dxa" w:w="1344"/>
            <w:shd w:val="clear" w:color="auto" w:fill="FFFFFF"/>
          </w:tcPr>
          <w:p>
            <w:r>
              <w:rPr>
                <w:sz w:val="18"/>
              </w:rPr>
              <w:t>PMS 294 C</w:t>
            </w:r>
          </w:p>
        </w:tc>
        <w:tc>
          <w:tcPr>
            <w:tcW w:type="dxa" w:w="1344"/>
            <w:shd w:val="clear" w:color="auto" w:fill="FFFFFF"/>
          </w:tcPr>
          <w:p>
            <w:r>
              <w:rPr>
                <w:sz w:val="18"/>
              </w:rPr>
              <w:t>Body copy on light; formal documents; footer backgrounds</w:t>
            </w:r>
          </w:p>
        </w:tc>
      </w:tr>
      <w:tr>
        <w:tc>
          <w:tcPr>
            <w:tcW w:type="dxa" w:w="1344"/>
            <w:shd w:val="clear" w:color="auto" w:fill="E8F4F5"/>
          </w:tcPr>
          <w:p>
            <w:r>
              <w:rPr>
                <w:sz w:val="18"/>
              </w:rPr>
              <w:t>Contoso White</w:t>
            </w:r>
          </w:p>
        </w:tc>
        <w:tc>
          <w:tcPr>
            <w:tcW w:type="dxa" w:w="1344"/>
            <w:shd w:val="clear" w:color="auto" w:fill="E8F4F5"/>
          </w:tcPr>
          <w:p>
            <w:r>
              <w:rPr>
                <w:sz w:val="18"/>
              </w:rPr>
              <w:t>Clean; clinical; light</w:t>
            </w:r>
          </w:p>
        </w:tc>
        <w:tc>
          <w:tcPr>
            <w:tcW w:type="dxa" w:w="1344"/>
            <w:shd w:val="clear" w:color="auto" w:fill="E8F4F5"/>
          </w:tcPr>
          <w:p>
            <w:r>
              <w:rPr>
                <w:sz w:val="18"/>
              </w:rPr>
              <w:t>#FFFFFF</w:t>
            </w:r>
          </w:p>
        </w:tc>
        <w:tc>
          <w:tcPr>
            <w:tcW w:type="dxa" w:w="1344"/>
            <w:shd w:val="clear" w:color="auto" w:fill="E8F4F5"/>
          </w:tcPr>
          <w:p>
            <w:r>
              <w:rPr>
                <w:sz w:val="18"/>
              </w:rPr>
              <w:t>R255 G255 B255</w:t>
            </w:r>
          </w:p>
        </w:tc>
        <w:tc>
          <w:tcPr>
            <w:tcW w:type="dxa" w:w="1344"/>
            <w:shd w:val="clear" w:color="auto" w:fill="E8F4F5"/>
          </w:tcPr>
          <w:p>
            <w:r>
              <w:rPr>
                <w:sz w:val="18"/>
              </w:rPr>
              <w:t>C0 M0 Y0 K0</w:t>
            </w:r>
          </w:p>
        </w:tc>
        <w:tc>
          <w:tcPr>
            <w:tcW w:type="dxa" w:w="1344"/>
            <w:shd w:val="clear" w:color="auto" w:fill="E8F4F5"/>
          </w:tcPr>
          <w:p>
            <w:r>
              <w:rPr>
                <w:sz w:val="18"/>
              </w:rPr>
              <w:t>N/A</w:t>
            </w:r>
          </w:p>
        </w:tc>
        <w:tc>
          <w:tcPr>
            <w:tcW w:type="dxa" w:w="1344"/>
            <w:shd w:val="clear" w:color="auto" w:fill="E8F4F5"/>
          </w:tcPr>
          <w:p>
            <w:r>
              <w:rPr>
                <w:sz w:val="18"/>
              </w:rPr>
              <w:t>Page backgrounds; reversed text on dark backgrounds</w:t>
            </w:r>
          </w:p>
        </w:tc>
      </w:tr>
    </w:tbl>
    <w:p/>
    <w:p>
      <w:pPr>
        <w:pStyle w:val="Heading2"/>
        <w:spacing w:before="200" w:after="80"/>
      </w:pPr>
      <w:r>
        <w:rPr>
          <w:color w:val="003050"/>
          <w:sz w:val="24"/>
        </w:rPr>
        <w:t>3.2 Secondary and Accent Colours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7B8A"/>
          </w:tcPr>
          <w:p>
            <w:pPr>
              <w:jc w:val="center"/>
            </w:pPr>
            <w:r>
              <w:rPr>
                <w:b/>
                <w:color w:val="FFFFFF"/>
                <w:sz w:val="18"/>
              </w:rPr>
              <w:t>Colour Name</w:t>
            </w:r>
          </w:p>
        </w:tc>
        <w:tc>
          <w:tcPr>
            <w:tcW w:type="dxa" w:w="2351"/>
            <w:shd w:val="clear" w:color="auto" w:fill="007B8A"/>
          </w:tcPr>
          <w:p>
            <w:pPr>
              <w:jc w:val="center"/>
            </w:pPr>
            <w:r>
              <w:rPr>
                <w:b/>
                <w:color w:val="FFFFFF"/>
                <w:sz w:val="18"/>
              </w:rPr>
              <w:t>HEX</w:t>
            </w:r>
          </w:p>
        </w:tc>
        <w:tc>
          <w:tcPr>
            <w:tcW w:type="dxa" w:w="2351"/>
            <w:shd w:val="clear" w:color="auto" w:fill="007B8A"/>
          </w:tcPr>
          <w:p>
            <w:pPr>
              <w:jc w:val="center"/>
            </w:pPr>
            <w:r>
              <w:rPr>
                <w:b/>
                <w:color w:val="FFFFFF"/>
                <w:sz w:val="18"/>
              </w:rPr>
              <w:t>RGB</w:t>
            </w:r>
          </w:p>
        </w:tc>
        <w:tc>
          <w:tcPr>
            <w:tcW w:type="dxa" w:w="2351"/>
            <w:shd w:val="clear" w:color="auto" w:fill="007B8A"/>
          </w:tcPr>
          <w:p>
            <w:pPr>
              <w:jc w:val="center"/>
            </w:pPr>
            <w:r>
              <w:rPr>
                <w:b/>
                <w:color w:val="FFFFFF"/>
                <w:sz w:val="18"/>
              </w:rPr>
              <w:t>Usage</w:t>
            </w:r>
          </w:p>
        </w:tc>
      </w:tr>
      <w:tr>
        <w:tc>
          <w:tcPr>
            <w:tcW w:type="dxa" w:w="2351"/>
            <w:shd w:val="clear" w:color="auto" w:fill="E8F4F5"/>
          </w:tcPr>
          <w:p>
            <w:r>
              <w:rPr>
                <w:sz w:val="18"/>
              </w:rPr>
              <w:t>Light Teal</w:t>
            </w:r>
          </w:p>
        </w:tc>
        <w:tc>
          <w:tcPr>
            <w:tcW w:type="dxa" w:w="2351"/>
            <w:shd w:val="clear" w:color="auto" w:fill="E8F4F5"/>
          </w:tcPr>
          <w:p>
            <w:r>
              <w:rPr>
                <w:sz w:val="18"/>
              </w:rPr>
              <w:t>#E8F4F5</w:t>
            </w:r>
          </w:p>
        </w:tc>
        <w:tc>
          <w:tcPr>
            <w:tcW w:type="dxa" w:w="2351"/>
            <w:shd w:val="clear" w:color="auto" w:fill="E8F4F5"/>
          </w:tcPr>
          <w:p>
            <w:r>
              <w:rPr>
                <w:sz w:val="18"/>
              </w:rPr>
              <w:t>R232 G244 B245</w:t>
            </w:r>
          </w:p>
        </w:tc>
        <w:tc>
          <w:tcPr>
            <w:tcW w:type="dxa" w:w="2351"/>
            <w:shd w:val="clear" w:color="auto" w:fill="E8F4F5"/>
          </w:tcPr>
          <w:p>
            <w:r>
              <w:rPr>
                <w:sz w:val="18"/>
              </w:rPr>
              <w:t>Table alternating rows; info panels; form backgrounds</w:t>
            </w:r>
          </w:p>
        </w:tc>
      </w:tr>
      <w:tr>
        <w:tc>
          <w:tcPr>
            <w:tcW w:type="dxa" w:w="2351"/>
            <w:shd w:val="clear" w:color="auto" w:fill="FFFFFF"/>
          </w:tcPr>
          <w:p>
            <w:r>
              <w:rPr>
                <w:sz w:val="18"/>
              </w:rPr>
              <w:t>Warm Amber</w:t>
            </w:r>
          </w:p>
        </w:tc>
        <w:tc>
          <w:tcPr>
            <w:tcW w:type="dxa" w:w="2351"/>
            <w:shd w:val="clear" w:color="auto" w:fill="FFFFFF"/>
          </w:tcPr>
          <w:p>
            <w:r>
              <w:rPr>
                <w:sz w:val="18"/>
              </w:rPr>
              <w:t>#F5A623</w:t>
            </w:r>
          </w:p>
        </w:tc>
        <w:tc>
          <w:tcPr>
            <w:tcW w:type="dxa" w:w="2351"/>
            <w:shd w:val="clear" w:color="auto" w:fill="FFFFFF"/>
          </w:tcPr>
          <w:p>
            <w:r>
              <w:rPr>
                <w:sz w:val="18"/>
              </w:rPr>
              <w:t>R245 G166 B35</w:t>
            </w:r>
          </w:p>
        </w:tc>
        <w:tc>
          <w:tcPr>
            <w:tcW w:type="dxa" w:w="2351"/>
            <w:shd w:val="clear" w:color="auto" w:fill="FFFFFF"/>
          </w:tcPr>
          <w:p>
            <w:r>
              <w:rPr>
                <w:sz w:val="18"/>
              </w:rPr>
              <w:t>Alerts; promotional highlights; call-out boxes — use sparingly</w:t>
            </w:r>
          </w:p>
        </w:tc>
      </w:tr>
      <w:tr>
        <w:tc>
          <w:tcPr>
            <w:tcW w:type="dxa" w:w="2351"/>
            <w:shd w:val="clear" w:color="auto" w:fill="E8F4F5"/>
          </w:tcPr>
          <w:p>
            <w:r>
              <w:rPr>
                <w:sz w:val="18"/>
              </w:rPr>
              <w:t>Soft Green</w:t>
            </w:r>
          </w:p>
        </w:tc>
        <w:tc>
          <w:tcPr>
            <w:tcW w:type="dxa" w:w="2351"/>
            <w:shd w:val="clear" w:color="auto" w:fill="E8F4F5"/>
          </w:tcPr>
          <w:p>
            <w:r>
              <w:rPr>
                <w:sz w:val="18"/>
              </w:rPr>
              <w:t>#4CAF50</w:t>
            </w:r>
          </w:p>
        </w:tc>
        <w:tc>
          <w:tcPr>
            <w:tcW w:type="dxa" w:w="2351"/>
            <w:shd w:val="clear" w:color="auto" w:fill="E8F4F5"/>
          </w:tcPr>
          <w:p>
            <w:r>
              <w:rPr>
                <w:sz w:val="18"/>
              </w:rPr>
              <w:t>R76 G175 B80</w:t>
            </w:r>
          </w:p>
        </w:tc>
        <w:tc>
          <w:tcPr>
            <w:tcW w:type="dxa" w:w="2351"/>
            <w:shd w:val="clear" w:color="auto" w:fill="E8F4F5"/>
          </w:tcPr>
          <w:p>
            <w:r>
              <w:rPr>
                <w:sz w:val="18"/>
              </w:rPr>
              <w:t>Positive indicators; RAG Green status; sustainability icons</w:t>
            </w:r>
          </w:p>
        </w:tc>
      </w:tr>
      <w:tr>
        <w:tc>
          <w:tcPr>
            <w:tcW w:type="dxa" w:w="2351"/>
            <w:shd w:val="clear" w:color="auto" w:fill="FFFFFF"/>
          </w:tcPr>
          <w:p>
            <w:r>
              <w:rPr>
                <w:sz w:val="18"/>
              </w:rPr>
              <w:t>Alert Red</w:t>
            </w:r>
          </w:p>
        </w:tc>
        <w:tc>
          <w:tcPr>
            <w:tcW w:type="dxa" w:w="2351"/>
            <w:shd w:val="clear" w:color="auto" w:fill="FFFFFF"/>
          </w:tcPr>
          <w:p>
            <w:r>
              <w:rPr>
                <w:sz w:val="18"/>
              </w:rPr>
              <w:t>#D32F2F</w:t>
            </w:r>
          </w:p>
        </w:tc>
        <w:tc>
          <w:tcPr>
            <w:tcW w:type="dxa" w:w="2351"/>
            <w:shd w:val="clear" w:color="auto" w:fill="FFFFFF"/>
          </w:tcPr>
          <w:p>
            <w:r>
              <w:rPr>
                <w:sz w:val="18"/>
              </w:rPr>
              <w:t>R211 G47 B47</w:t>
            </w:r>
          </w:p>
        </w:tc>
        <w:tc>
          <w:tcPr>
            <w:tcW w:type="dxa" w:w="2351"/>
            <w:shd w:val="clear" w:color="auto" w:fill="FFFFFF"/>
          </w:tcPr>
          <w:p>
            <w:r>
              <w:rPr>
                <w:sz w:val="18"/>
              </w:rPr>
              <w:t>Warnings; RAG Red status; critical alerts; error states</w:t>
            </w:r>
          </w:p>
        </w:tc>
      </w:tr>
      <w:tr>
        <w:tc>
          <w:tcPr>
            <w:tcW w:type="dxa" w:w="2351"/>
            <w:shd w:val="clear" w:color="auto" w:fill="E8F4F5"/>
          </w:tcPr>
          <w:p>
            <w:r>
              <w:rPr>
                <w:sz w:val="18"/>
              </w:rPr>
              <w:t>Mid Grey</w:t>
            </w:r>
          </w:p>
        </w:tc>
        <w:tc>
          <w:tcPr>
            <w:tcW w:type="dxa" w:w="2351"/>
            <w:shd w:val="clear" w:color="auto" w:fill="E8F4F5"/>
          </w:tcPr>
          <w:p>
            <w:r>
              <w:rPr>
                <w:sz w:val="18"/>
              </w:rPr>
              <w:t>#6B7280</w:t>
            </w:r>
          </w:p>
        </w:tc>
        <w:tc>
          <w:tcPr>
            <w:tcW w:type="dxa" w:w="2351"/>
            <w:shd w:val="clear" w:color="auto" w:fill="E8F4F5"/>
          </w:tcPr>
          <w:p>
            <w:r>
              <w:rPr>
                <w:sz w:val="18"/>
              </w:rPr>
              <w:t>R107 G114 B128</w:t>
            </w:r>
          </w:p>
        </w:tc>
        <w:tc>
          <w:tcPr>
            <w:tcW w:type="dxa" w:w="2351"/>
            <w:shd w:val="clear" w:color="auto" w:fill="E8F4F5"/>
          </w:tcPr>
          <w:p>
            <w:r>
              <w:rPr>
                <w:sz w:val="18"/>
              </w:rPr>
              <w:t>Secondary body copy; captions; metadata; table grid lines</w:t>
            </w:r>
          </w:p>
        </w:tc>
      </w:tr>
      <w:tr>
        <w:tc>
          <w:tcPr>
            <w:tcW w:type="dxa" w:w="2351"/>
            <w:shd w:val="clear" w:color="auto" w:fill="FFFFFF"/>
          </w:tcPr>
          <w:p>
            <w:r>
              <w:rPr>
                <w:sz w:val="18"/>
              </w:rPr>
              <w:t>Light Grey</w:t>
            </w:r>
          </w:p>
        </w:tc>
        <w:tc>
          <w:tcPr>
            <w:tcW w:type="dxa" w:w="2351"/>
            <w:shd w:val="clear" w:color="auto" w:fill="FFFFFF"/>
          </w:tcPr>
          <w:p>
            <w:r>
              <w:rPr>
                <w:sz w:val="18"/>
              </w:rPr>
              <w:t>#F3F4F6</w:t>
            </w:r>
          </w:p>
        </w:tc>
        <w:tc>
          <w:tcPr>
            <w:tcW w:type="dxa" w:w="2351"/>
            <w:shd w:val="clear" w:color="auto" w:fill="FFFFFF"/>
          </w:tcPr>
          <w:p>
            <w:r>
              <w:rPr>
                <w:sz w:val="18"/>
              </w:rPr>
              <w:t>R243 G244 B246</w:t>
            </w:r>
          </w:p>
        </w:tc>
        <w:tc>
          <w:tcPr>
            <w:tcW w:type="dxa" w:w="2351"/>
            <w:shd w:val="clear" w:color="auto" w:fill="FFFFFF"/>
          </w:tcPr>
          <w:p>
            <w:r>
              <w:rPr>
                <w:sz w:val="18"/>
              </w:rPr>
              <w:t>Alternate row; disabled states; background fill</w:t>
            </w:r>
          </w:p>
        </w:tc>
      </w:tr>
      <w:tr>
        <w:tc>
          <w:tcPr>
            <w:tcW w:type="dxa" w:w="2351"/>
            <w:shd w:val="clear" w:color="auto" w:fill="E8F4F5"/>
          </w:tcPr>
          <w:p>
            <w:r>
              <w:rPr>
                <w:sz w:val="18"/>
              </w:rPr>
              <w:t>Dark Charcoal</w:t>
            </w:r>
          </w:p>
        </w:tc>
        <w:tc>
          <w:tcPr>
            <w:tcW w:type="dxa" w:w="2351"/>
            <w:shd w:val="clear" w:color="auto" w:fill="E8F4F5"/>
          </w:tcPr>
          <w:p>
            <w:r>
              <w:rPr>
                <w:sz w:val="18"/>
              </w:rPr>
              <w:t>#1F2937</w:t>
            </w:r>
          </w:p>
        </w:tc>
        <w:tc>
          <w:tcPr>
            <w:tcW w:type="dxa" w:w="2351"/>
            <w:shd w:val="clear" w:color="auto" w:fill="E8F4F5"/>
          </w:tcPr>
          <w:p>
            <w:r>
              <w:rPr>
                <w:sz w:val="18"/>
              </w:rPr>
              <w:t>R31 G41 B55</w:t>
            </w:r>
          </w:p>
        </w:tc>
        <w:tc>
          <w:tcPr>
            <w:tcW w:type="dxa" w:w="2351"/>
            <w:shd w:val="clear" w:color="auto" w:fill="E8F4F5"/>
          </w:tcPr>
          <w:p>
            <w:r>
              <w:rPr>
                <w:sz w:val="18"/>
              </w:rPr>
              <w:t>Primary body copy; high-contrast text on white backgrounds</w:t>
            </w:r>
          </w:p>
        </w:tc>
      </w:tr>
    </w:tbl>
    <w:p/>
    <w:p>
      <w:pPr>
        <w:pStyle w:val="Heading2"/>
        <w:spacing w:before="200" w:after="80"/>
      </w:pPr>
      <w:r>
        <w:rPr>
          <w:color w:val="003050"/>
          <w:sz w:val="24"/>
        </w:rPr>
        <w:t>3.3 Accessibility Requirements</w:t>
      </w:r>
    </w:p>
    <w:p>
      <w:pPr>
        <w:pStyle w:val="ListBullet"/>
        <w:spacing w:after="40"/>
      </w:pPr>
      <w:r>
        <w:rPr>
          <w:sz w:val="20"/>
        </w:rPr>
        <w:t>All text and background colour combinations must meet WCAG 2.1 Level AA (4.5:1 for normal text; 3:1 for large text/UI components).</w:t>
      </w:r>
    </w:p>
    <w:p>
      <w:pPr>
        <w:pStyle w:val="ListBullet"/>
        <w:spacing w:after="40"/>
      </w:pPr>
      <w:r>
        <w:rPr>
          <w:sz w:val="20"/>
        </w:rPr>
        <w:t>Colour alone must not be used to convey information — always supplement with text label, icon, or pattern (important for RAG indicators in reports).</w:t>
      </w:r>
    </w:p>
    <w:p>
      <w:pPr>
        <w:pStyle w:val="ListBullet"/>
        <w:spacing w:after="40"/>
      </w:pPr>
      <w:r>
        <w:rPr>
          <w:sz w:val="20"/>
        </w:rPr>
        <w:t>Colour Blindness Check: All designs must be reviewed using Contoso's approved accessibility checker or Figma Colour Blind plugin before publication.</w:t>
      </w:r>
    </w:p>
    <w:p>
      <w:pPr>
        <w:pStyle w:val="Heading1"/>
        <w:spacing w:before="280" w:after="120"/>
      </w:pPr>
      <w:r>
        <w:rPr>
          <w:color w:val="007B8A"/>
          <w:sz w:val="30"/>
        </w:rPr>
        <w:t>4. Typography</w:t>
      </w:r>
    </w:p>
    <w:p>
      <w:pPr>
        <w:pStyle w:val="Heading2"/>
        <w:spacing w:before="200" w:after="80"/>
      </w:pPr>
      <w:r>
        <w:rPr>
          <w:color w:val="003050"/>
          <w:sz w:val="24"/>
        </w:rPr>
        <w:t>4.1 Primary Typeface: Graphik (Commercial)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7B8A"/>
          </w:tcPr>
          <w:p>
            <w:pPr>
              <w:jc w:val="center"/>
            </w:pPr>
            <w:r>
              <w:rPr>
                <w:b/>
                <w:color w:val="FFFFFF"/>
                <w:sz w:val="18"/>
              </w:rPr>
              <w:t>Weight</w:t>
            </w:r>
          </w:p>
        </w:tc>
        <w:tc>
          <w:tcPr>
            <w:tcW w:type="dxa" w:w="3135"/>
            <w:shd w:val="clear" w:color="auto" w:fill="007B8A"/>
          </w:tcPr>
          <w:p>
            <w:pPr>
              <w:jc w:val="center"/>
            </w:pPr>
            <w:r>
              <w:rPr>
                <w:b/>
                <w:color w:val="FFFFFF"/>
                <w:sz w:val="18"/>
              </w:rPr>
              <w:t>Use Case</w:t>
            </w:r>
          </w:p>
        </w:tc>
        <w:tc>
          <w:tcPr>
            <w:tcW w:type="dxa" w:w="3135"/>
            <w:shd w:val="clear" w:color="auto" w:fill="007B8A"/>
          </w:tcPr>
          <w:p>
            <w:pPr>
              <w:jc w:val="center"/>
            </w:pPr>
            <w:r>
              <w:rPr>
                <w:b/>
                <w:color w:val="FFFFFF"/>
                <w:sz w:val="18"/>
              </w:rPr>
              <w:t>Size Guidance</w:t>
            </w:r>
          </w:p>
        </w:tc>
      </w:tr>
      <w:tr>
        <w:tc>
          <w:tcPr>
            <w:tcW w:type="dxa" w:w="3135"/>
            <w:shd w:val="clear" w:color="auto" w:fill="E8F4F5"/>
          </w:tcPr>
          <w:p>
            <w:r>
              <w:rPr>
                <w:sz w:val="18"/>
              </w:rPr>
              <w:t>Graphik SemiBold</w:t>
            </w:r>
          </w:p>
        </w:tc>
        <w:tc>
          <w:tcPr>
            <w:tcW w:type="dxa" w:w="3135"/>
            <w:shd w:val="clear" w:color="auto" w:fill="E8F4F5"/>
          </w:tcPr>
          <w:p>
            <w:r>
              <w:rPr>
                <w:sz w:val="18"/>
              </w:rPr>
              <w:t>Headlines, logo wordmark, section headings</w:t>
            </w:r>
          </w:p>
        </w:tc>
        <w:tc>
          <w:tcPr>
            <w:tcW w:type="dxa" w:w="3135"/>
            <w:shd w:val="clear" w:color="auto" w:fill="E8F4F5"/>
          </w:tcPr>
          <w:p>
            <w:r>
              <w:rPr>
                <w:sz w:val="18"/>
              </w:rPr>
              <w:t>H1: 28–36pt; H2: 20–24pt; H3: 16–18pt</w:t>
            </w:r>
          </w:p>
        </w:tc>
      </w:tr>
      <w:tr>
        <w:tc>
          <w:tcPr>
            <w:tcW w:type="dxa" w:w="3135"/>
            <w:shd w:val="clear" w:color="auto" w:fill="FFFFFF"/>
          </w:tcPr>
          <w:p>
            <w:r>
              <w:rPr>
                <w:sz w:val="18"/>
              </w:rPr>
              <w:t>Graphik Medium</w:t>
            </w:r>
          </w:p>
        </w:tc>
        <w:tc>
          <w:tcPr>
            <w:tcW w:type="dxa" w:w="3135"/>
            <w:shd w:val="clear" w:color="auto" w:fill="FFFFFF"/>
          </w:tcPr>
          <w:p>
            <w:r>
              <w:rPr>
                <w:sz w:val="18"/>
              </w:rPr>
              <w:t>Sub-headings, callout text, table headers</w:t>
            </w:r>
          </w:p>
        </w:tc>
        <w:tc>
          <w:tcPr>
            <w:tcW w:type="dxa" w:w="3135"/>
            <w:shd w:val="clear" w:color="auto" w:fill="FFFFFF"/>
          </w:tcPr>
          <w:p>
            <w:r>
              <w:rPr>
                <w:sz w:val="18"/>
              </w:rPr>
              <w:t>14–16pt</w:t>
            </w:r>
          </w:p>
        </w:tc>
      </w:tr>
      <w:tr>
        <w:tc>
          <w:tcPr>
            <w:tcW w:type="dxa" w:w="3135"/>
            <w:shd w:val="clear" w:color="auto" w:fill="E8F4F5"/>
          </w:tcPr>
          <w:p>
            <w:r>
              <w:rPr>
                <w:sz w:val="18"/>
              </w:rPr>
              <w:t>Graphik Regular</w:t>
            </w:r>
          </w:p>
        </w:tc>
        <w:tc>
          <w:tcPr>
            <w:tcW w:type="dxa" w:w="3135"/>
            <w:shd w:val="clear" w:color="auto" w:fill="E8F4F5"/>
          </w:tcPr>
          <w:p>
            <w:r>
              <w:rPr>
                <w:sz w:val="18"/>
              </w:rPr>
              <w:t>Body copy, captions, data tables</w:t>
            </w:r>
          </w:p>
        </w:tc>
        <w:tc>
          <w:tcPr>
            <w:tcW w:type="dxa" w:w="3135"/>
            <w:shd w:val="clear" w:color="auto" w:fill="E8F4F5"/>
          </w:tcPr>
          <w:p>
            <w:r>
              <w:rPr>
                <w:sz w:val="18"/>
              </w:rPr>
              <w:t>10–12pt; line spacing 1.4</w:t>
            </w:r>
          </w:p>
        </w:tc>
      </w:tr>
      <w:tr>
        <w:tc>
          <w:tcPr>
            <w:tcW w:type="dxa" w:w="3135"/>
            <w:shd w:val="clear" w:color="auto" w:fill="FFFFFF"/>
          </w:tcPr>
          <w:p>
            <w:r>
              <w:rPr>
                <w:sz w:val="18"/>
              </w:rPr>
              <w:t>Graphik Light</w:t>
            </w:r>
          </w:p>
        </w:tc>
        <w:tc>
          <w:tcPr>
            <w:tcW w:type="dxa" w:w="3135"/>
            <w:shd w:val="clear" w:color="auto" w:fill="FFFFFF"/>
          </w:tcPr>
          <w:p>
            <w:r>
              <w:rPr>
                <w:sz w:val="18"/>
              </w:rPr>
              <w:t>Large-scale display text, infographics</w:t>
            </w:r>
          </w:p>
        </w:tc>
        <w:tc>
          <w:tcPr>
            <w:tcW w:type="dxa" w:w="3135"/>
            <w:shd w:val="clear" w:color="auto" w:fill="FFFFFF"/>
          </w:tcPr>
          <w:p>
            <w:r>
              <w:rPr>
                <w:sz w:val="18"/>
              </w:rPr>
              <w:t>30pt+; use sparingly</w:t>
            </w:r>
          </w:p>
        </w:tc>
      </w:tr>
    </w:tbl>
    <w:p/>
    <w:p>
      <w:pPr>
        <w:pStyle w:val="Heading2"/>
        <w:spacing w:before="200" w:after="80"/>
      </w:pPr>
      <w:r>
        <w:rPr>
          <w:color w:val="003050"/>
          <w:sz w:val="24"/>
        </w:rPr>
        <w:t>4.2 Web / Digital Fallback: Inter (Google Fonts, Open License)</w:t>
      </w:r>
    </w:p>
    <w:p>
      <w:pPr>
        <w:spacing w:after="120"/>
      </w:pPr>
      <w:r>
        <w:rPr>
          <w:b w:val="0"/>
          <w:i w:val="0"/>
          <w:sz w:val="20"/>
        </w:rPr>
        <w:t>Where Graphik is unavailable (external emails, web pages, third-party platforms), use Inter (Regular, SemiBold, Bold). Inter is approved for all digital-first content including patient portal, app, and intranet. Do not use Arial, Helvetica, or Times New Roman as substitutes.</w:t>
      </w:r>
    </w:p>
    <w:p>
      <w:pPr>
        <w:pStyle w:val="Heading2"/>
        <w:spacing w:before="200" w:after="80"/>
      </w:pPr>
      <w:r>
        <w:rPr>
          <w:color w:val="003050"/>
          <w:sz w:val="24"/>
        </w:rPr>
        <w:t>4.3 Microsoft 365 Documents</w:t>
      </w:r>
    </w:p>
    <w:p>
      <w:pPr>
        <w:spacing w:after="120"/>
      </w:pPr>
      <w:r>
        <w:rPr>
          <w:b w:val="0"/>
          <w:i w:val="0"/>
          <w:sz w:val="20"/>
        </w:rPr>
        <w:t>For internal Microsoft Word, Excel, and PowerPoint documents, use Calibri (Microsoft default). The Group PowerPoint template and Word letterhead template pre-set the correct fonts. Do not override fonts in official report templates.</w:t>
      </w:r>
    </w:p>
    <w:p>
      <w:pPr>
        <w:pStyle w:val="ListBullet"/>
        <w:spacing w:after="40"/>
      </w:pPr>
      <w:r>
        <w:rPr>
          <w:sz w:val="20"/>
        </w:rPr>
        <w:t>Heading 1: Calibri 15pt, Teal (#007B8A), bold</w:t>
      </w:r>
    </w:p>
    <w:p>
      <w:pPr>
        <w:pStyle w:val="ListBullet"/>
        <w:spacing w:after="40"/>
      </w:pPr>
      <w:r>
        <w:rPr>
          <w:sz w:val="20"/>
        </w:rPr>
        <w:t>Heading 2: Calibri 12pt, Navy (#003050), bold</w:t>
      </w:r>
    </w:p>
    <w:p>
      <w:pPr>
        <w:pStyle w:val="ListBullet"/>
        <w:spacing w:after="40"/>
      </w:pPr>
      <w:r>
        <w:rPr>
          <w:sz w:val="20"/>
        </w:rPr>
        <w:t>Body text: Calibri 11pt, Charcoal (#1F2937)</w:t>
      </w:r>
    </w:p>
    <w:p>
      <w:pPr>
        <w:pStyle w:val="ListBullet"/>
        <w:spacing w:after="40"/>
      </w:pPr>
      <w:r>
        <w:rPr>
          <w:sz w:val="20"/>
        </w:rPr>
        <w:t>Table header: Calibri 10pt, White on Teal, bold</w:t>
      </w:r>
    </w:p>
    <w:p>
      <w:pPr>
        <w:pStyle w:val="ListBullet"/>
        <w:spacing w:after="40"/>
      </w:pPr>
      <w:r>
        <w:rPr>
          <w:sz w:val="20"/>
        </w:rPr>
        <w:t>Table data: Calibri 10pt, alternating Light Teal / White rows</w:t>
      </w:r>
    </w:p>
    <w:p>
      <w:pPr>
        <w:pStyle w:val="Heading1"/>
        <w:spacing w:before="280" w:after="120"/>
      </w:pPr>
      <w:r>
        <w:rPr>
          <w:color w:val="007B8A"/>
          <w:sz w:val="30"/>
        </w:rPr>
        <w:t>5. Photography and Imagery Guidelines</w:t>
      </w:r>
    </w:p>
    <w:p>
      <w:pPr>
        <w:pStyle w:val="Heading2"/>
        <w:spacing w:before="200" w:after="80"/>
      </w:pPr>
      <w:r>
        <w:rPr>
          <w:color w:val="003050"/>
          <w:sz w:val="24"/>
        </w:rPr>
        <w:t>5.1 Approved Photography Styles</w:t>
      </w:r>
    </w:p>
    <w:p>
      <w:pPr>
        <w:pStyle w:val="ListBullet"/>
        <w:spacing w:after="40"/>
      </w:pPr>
      <w:r>
        <w:rPr>
          <w:sz w:val="20"/>
        </w:rPr>
        <w:t>Clinical photography: natural light preferred; clean, uncluttered clinical environments; professional attire; patient privacy protected (no identifiable patient faces without signed consent form MKT-CONSENT-01).</w:t>
      </w:r>
    </w:p>
    <w:p>
      <w:pPr>
        <w:pStyle w:val="ListBullet"/>
        <w:spacing w:after="40"/>
      </w:pPr>
      <w:r>
        <w:rPr>
          <w:sz w:val="20"/>
        </w:rPr>
        <w:t>Staff photography: warm, approachable; consistent backgrounds (Contoso Teal or neutral medical setting); representative of our diverse workforce (target: 50% female, 40% non-Malay, 10% international expertise).</w:t>
      </w:r>
    </w:p>
    <w:p>
      <w:pPr>
        <w:pStyle w:val="ListBullet"/>
        <w:spacing w:after="40"/>
      </w:pPr>
      <w:r>
        <w:rPr>
          <w:sz w:val="20"/>
        </w:rPr>
        <w:t>Facility photography: architectural; bright; modern; clean — showcasing Contoso's contemporary facilities.</w:t>
      </w:r>
    </w:p>
    <w:p>
      <w:pPr>
        <w:pStyle w:val="Heading2"/>
        <w:spacing w:before="200" w:after="80"/>
      </w:pPr>
      <w:r>
        <w:rPr>
          <w:color w:val="003050"/>
          <w:sz w:val="24"/>
        </w:rPr>
        <w:t>5.2 Photography Restrictions</w:t>
      </w:r>
    </w:p>
    <w:p>
      <w:pPr>
        <w:pStyle w:val="ListBullet"/>
        <w:spacing w:after="40"/>
      </w:pPr>
      <w:r>
        <w:rPr>
          <w:sz w:val="20"/>
        </w:rPr>
        <w:t>No stock photography of patients in clinical settings. Use Contoso-commissioned photography only for clinical marketing materials.</w:t>
      </w:r>
    </w:p>
    <w:p>
      <w:pPr>
        <w:pStyle w:val="ListBullet"/>
        <w:spacing w:after="40"/>
      </w:pPr>
      <w:r>
        <w:rPr>
          <w:sz w:val="20"/>
        </w:rPr>
        <w:t>No photography inside operating theatres, ICU, or high-dependency units without explicit Medical Director approval and signed patient consent.</w:t>
      </w:r>
    </w:p>
    <w:p>
      <w:pPr>
        <w:pStyle w:val="ListBullet"/>
        <w:spacing w:after="40"/>
      </w:pPr>
      <w:r>
        <w:rPr>
          <w:sz w:val="20"/>
        </w:rPr>
        <w:t>All photography used in external communications must be approved by the Group Marketing Director before publication.</w:t>
      </w:r>
    </w:p>
    <w:p>
      <w:pPr>
        <w:pStyle w:val="Heading2"/>
        <w:spacing w:before="200" w:after="80"/>
      </w:pPr>
      <w:r>
        <w:rPr>
          <w:color w:val="003050"/>
          <w:sz w:val="24"/>
        </w:rPr>
        <w:t>5.3 Image Quality Standards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7B8A"/>
          </w:tcPr>
          <w:p>
            <w:pPr>
              <w:jc w:val="center"/>
            </w:pPr>
            <w:r>
              <w:rPr>
                <w:b/>
                <w:color w:val="FFFFFF"/>
                <w:sz w:val="18"/>
              </w:rPr>
              <w:t>Usage</w:t>
            </w:r>
          </w:p>
        </w:tc>
        <w:tc>
          <w:tcPr>
            <w:tcW w:type="dxa" w:w="2351"/>
            <w:shd w:val="clear" w:color="auto" w:fill="007B8A"/>
          </w:tcPr>
          <w:p>
            <w:pPr>
              <w:jc w:val="center"/>
            </w:pPr>
            <w:r>
              <w:rPr>
                <w:b/>
                <w:color w:val="FFFFFF"/>
                <w:sz w:val="18"/>
              </w:rPr>
              <w:t>Minimum Resolution</w:t>
            </w:r>
          </w:p>
        </w:tc>
        <w:tc>
          <w:tcPr>
            <w:tcW w:type="dxa" w:w="2351"/>
            <w:shd w:val="clear" w:color="auto" w:fill="007B8A"/>
          </w:tcPr>
          <w:p>
            <w:pPr>
              <w:jc w:val="center"/>
            </w:pPr>
            <w:r>
              <w:rPr>
                <w:b/>
                <w:color w:val="FFFFFF"/>
                <w:sz w:val="18"/>
              </w:rPr>
              <w:t>Colour Profile</w:t>
            </w:r>
          </w:p>
        </w:tc>
        <w:tc>
          <w:tcPr>
            <w:tcW w:type="dxa" w:w="2351"/>
            <w:shd w:val="clear" w:color="auto" w:fill="007B8A"/>
          </w:tcPr>
          <w:p>
            <w:pPr>
              <w:jc w:val="center"/>
            </w:pPr>
            <w:r>
              <w:rPr>
                <w:b/>
                <w:color w:val="FFFFFF"/>
                <w:sz w:val="18"/>
              </w:rPr>
              <w:t>File Format</w:t>
            </w:r>
          </w:p>
        </w:tc>
      </w:tr>
      <w:tr>
        <w:tc>
          <w:tcPr>
            <w:tcW w:type="dxa" w:w="2351"/>
            <w:shd w:val="clear" w:color="auto" w:fill="E8F4F5"/>
          </w:tcPr>
          <w:p>
            <w:r>
              <w:rPr>
                <w:sz w:val="18"/>
              </w:rPr>
              <w:t>Print (brochures, reports)</w:t>
            </w:r>
          </w:p>
        </w:tc>
        <w:tc>
          <w:tcPr>
            <w:tcW w:type="dxa" w:w="2351"/>
            <w:shd w:val="clear" w:color="auto" w:fill="E8F4F5"/>
          </w:tcPr>
          <w:p>
            <w:r>
              <w:rPr>
                <w:sz w:val="18"/>
              </w:rPr>
              <w:t>300 DPI at actual print size</w:t>
            </w:r>
          </w:p>
        </w:tc>
        <w:tc>
          <w:tcPr>
            <w:tcW w:type="dxa" w:w="2351"/>
            <w:shd w:val="clear" w:color="auto" w:fill="E8F4F5"/>
          </w:tcPr>
          <w:p>
            <w:r>
              <w:rPr>
                <w:sz w:val="18"/>
              </w:rPr>
              <w:t>CMYK (ISO Coated v2)</w:t>
            </w:r>
          </w:p>
        </w:tc>
        <w:tc>
          <w:tcPr>
            <w:tcW w:type="dxa" w:w="2351"/>
            <w:shd w:val="clear" w:color="auto" w:fill="E8F4F5"/>
          </w:tcPr>
          <w:p>
            <w:r>
              <w:rPr>
                <w:sz w:val="18"/>
              </w:rPr>
              <w:t>TIFF or high-res PDF</w:t>
            </w:r>
          </w:p>
        </w:tc>
      </w:tr>
      <w:tr>
        <w:tc>
          <w:tcPr>
            <w:tcW w:type="dxa" w:w="2351"/>
            <w:shd w:val="clear" w:color="auto" w:fill="FFFFFF"/>
          </w:tcPr>
          <w:p>
            <w:r>
              <w:rPr>
                <w:sz w:val="18"/>
              </w:rPr>
              <w:t>Digital (website, social)</w:t>
            </w:r>
          </w:p>
        </w:tc>
        <w:tc>
          <w:tcPr>
            <w:tcW w:type="dxa" w:w="2351"/>
            <w:shd w:val="clear" w:color="auto" w:fill="FFFFFF"/>
          </w:tcPr>
          <w:p>
            <w:r>
              <w:rPr>
                <w:sz w:val="18"/>
              </w:rPr>
              <w:t>72 DPI; min 1920×1080px for hero images</w:t>
            </w:r>
          </w:p>
        </w:tc>
        <w:tc>
          <w:tcPr>
            <w:tcW w:type="dxa" w:w="2351"/>
            <w:shd w:val="clear" w:color="auto" w:fill="FFFFFF"/>
          </w:tcPr>
          <w:p>
            <w:r>
              <w:rPr>
                <w:sz w:val="18"/>
              </w:rPr>
              <w:t>sRGB</w:t>
            </w:r>
          </w:p>
        </w:tc>
        <w:tc>
          <w:tcPr>
            <w:tcW w:type="dxa" w:w="2351"/>
            <w:shd w:val="clear" w:color="auto" w:fill="FFFFFF"/>
          </w:tcPr>
          <w:p>
            <w:r>
              <w:rPr>
                <w:sz w:val="18"/>
              </w:rPr>
              <w:t>JPEG (quality 90%+) or WebP</w:t>
            </w:r>
          </w:p>
        </w:tc>
      </w:tr>
      <w:tr>
        <w:tc>
          <w:tcPr>
            <w:tcW w:type="dxa" w:w="2351"/>
            <w:shd w:val="clear" w:color="auto" w:fill="E8F4F5"/>
          </w:tcPr>
          <w:p>
            <w:r>
              <w:rPr>
                <w:sz w:val="18"/>
              </w:rPr>
              <w:t>Presentations (PowerPoint)</w:t>
            </w:r>
          </w:p>
        </w:tc>
        <w:tc>
          <w:tcPr>
            <w:tcW w:type="dxa" w:w="2351"/>
            <w:shd w:val="clear" w:color="auto" w:fill="E8F4F5"/>
          </w:tcPr>
          <w:p>
            <w:r>
              <w:rPr>
                <w:sz w:val="18"/>
              </w:rPr>
              <w:t>150 DPI at slide dimensions</w:t>
            </w:r>
          </w:p>
        </w:tc>
        <w:tc>
          <w:tcPr>
            <w:tcW w:type="dxa" w:w="2351"/>
            <w:shd w:val="clear" w:color="auto" w:fill="E8F4F5"/>
          </w:tcPr>
          <w:p>
            <w:r>
              <w:rPr>
                <w:sz w:val="18"/>
              </w:rPr>
              <w:t>sRGB</w:t>
            </w:r>
          </w:p>
        </w:tc>
        <w:tc>
          <w:tcPr>
            <w:tcW w:type="dxa" w:w="2351"/>
            <w:shd w:val="clear" w:color="auto" w:fill="E8F4F5"/>
          </w:tcPr>
          <w:p>
            <w:r>
              <w:rPr>
                <w:sz w:val="18"/>
              </w:rPr>
              <w:t>JPEG or PNG</w:t>
            </w:r>
          </w:p>
        </w:tc>
      </w:tr>
      <w:tr>
        <w:tc>
          <w:tcPr>
            <w:tcW w:type="dxa" w:w="2351"/>
            <w:shd w:val="clear" w:color="auto" w:fill="FFFFFF"/>
          </w:tcPr>
          <w:p>
            <w:r>
              <w:rPr>
                <w:sz w:val="18"/>
              </w:rPr>
              <w:t>Social media (post/story)</w:t>
            </w:r>
          </w:p>
        </w:tc>
        <w:tc>
          <w:tcPr>
            <w:tcW w:type="dxa" w:w="2351"/>
            <w:shd w:val="clear" w:color="auto" w:fill="FFFFFF"/>
          </w:tcPr>
          <w:p>
            <w:r>
              <w:rPr>
                <w:sz w:val="18"/>
              </w:rPr>
              <w:t>Platform native (1080×1080; 1080×1920)</w:t>
            </w:r>
          </w:p>
        </w:tc>
        <w:tc>
          <w:tcPr>
            <w:tcW w:type="dxa" w:w="2351"/>
            <w:shd w:val="clear" w:color="auto" w:fill="FFFFFF"/>
          </w:tcPr>
          <w:p>
            <w:r>
              <w:rPr>
                <w:sz w:val="18"/>
              </w:rPr>
              <w:t>sRGB</w:t>
            </w:r>
          </w:p>
        </w:tc>
        <w:tc>
          <w:tcPr>
            <w:tcW w:type="dxa" w:w="2351"/>
            <w:shd w:val="clear" w:color="auto" w:fill="FFFFFF"/>
          </w:tcPr>
          <w:p>
            <w:r>
              <w:rPr>
                <w:sz w:val="18"/>
              </w:rPr>
              <w:t>JPEG or PNG &lt;5MB</w:t>
            </w:r>
          </w:p>
        </w:tc>
      </w:tr>
    </w:tbl>
    <w:p/>
    <w:p>
      <w:pPr>
        <w:pStyle w:val="Heading1"/>
        <w:spacing w:before="280" w:after="120"/>
      </w:pPr>
      <w:r>
        <w:rPr>
          <w:color w:val="007B8A"/>
          <w:sz w:val="30"/>
        </w:rPr>
        <w:t>6. Tone of Voice and Content Principles</w:t>
      </w:r>
    </w:p>
    <w:p>
      <w:pPr>
        <w:pStyle w:val="Heading2"/>
        <w:spacing w:before="200" w:after="80"/>
      </w:pPr>
      <w:r>
        <w:rPr>
          <w:color w:val="003050"/>
          <w:sz w:val="24"/>
        </w:rPr>
        <w:t>6.1 Brand Voice Attributes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7B8A"/>
          </w:tcPr>
          <w:p>
            <w:pPr>
              <w:jc w:val="center"/>
            </w:pPr>
            <w:r>
              <w:rPr>
                <w:b/>
                <w:color w:val="FFFFFF"/>
                <w:sz w:val="18"/>
              </w:rPr>
              <w:t>Attribute</w:t>
            </w:r>
          </w:p>
        </w:tc>
        <w:tc>
          <w:tcPr>
            <w:tcW w:type="dxa" w:w="2351"/>
            <w:shd w:val="clear" w:color="auto" w:fill="007B8A"/>
          </w:tcPr>
          <w:p>
            <w:pPr>
              <w:jc w:val="center"/>
            </w:pPr>
            <w:r>
              <w:rPr>
                <w:b/>
                <w:color w:val="FFFFFF"/>
                <w:sz w:val="18"/>
              </w:rPr>
              <w:t>We Are</w:t>
            </w:r>
          </w:p>
        </w:tc>
        <w:tc>
          <w:tcPr>
            <w:tcW w:type="dxa" w:w="2351"/>
            <w:shd w:val="clear" w:color="auto" w:fill="007B8A"/>
          </w:tcPr>
          <w:p>
            <w:pPr>
              <w:jc w:val="center"/>
            </w:pPr>
            <w:r>
              <w:rPr>
                <w:b/>
                <w:color w:val="FFFFFF"/>
                <w:sz w:val="18"/>
              </w:rPr>
              <w:t>We Are NOT</w:t>
            </w:r>
          </w:p>
        </w:tc>
        <w:tc>
          <w:tcPr>
            <w:tcW w:type="dxa" w:w="2351"/>
            <w:shd w:val="clear" w:color="auto" w:fill="007B8A"/>
          </w:tcPr>
          <w:p>
            <w:pPr>
              <w:jc w:val="center"/>
            </w:pPr>
            <w:r>
              <w:rPr>
                <w:b/>
                <w:color w:val="FFFFFF"/>
                <w:sz w:val="18"/>
              </w:rPr>
              <w:t>Example</w:t>
            </w:r>
          </w:p>
        </w:tc>
      </w:tr>
      <w:tr>
        <w:tc>
          <w:tcPr>
            <w:tcW w:type="dxa" w:w="2351"/>
            <w:shd w:val="clear" w:color="auto" w:fill="E8F4F5"/>
          </w:tcPr>
          <w:p>
            <w:r>
              <w:rPr>
                <w:sz w:val="18"/>
              </w:rPr>
              <w:t>Warm &amp; Empathetic</w:t>
            </w:r>
          </w:p>
        </w:tc>
        <w:tc>
          <w:tcPr>
            <w:tcW w:type="dxa" w:w="2351"/>
            <w:shd w:val="clear" w:color="auto" w:fill="E8F4F5"/>
          </w:tcPr>
          <w:p>
            <w:r>
              <w:rPr>
                <w:sz w:val="18"/>
              </w:rPr>
              <w:t>Human, caring, patient-first</w:t>
            </w:r>
          </w:p>
        </w:tc>
        <w:tc>
          <w:tcPr>
            <w:tcW w:type="dxa" w:w="2351"/>
            <w:shd w:val="clear" w:color="auto" w:fill="E8F4F5"/>
          </w:tcPr>
          <w:p>
            <w:r>
              <w:rPr>
                <w:sz w:val="18"/>
              </w:rPr>
              <w:t>Clinical, cold, institutional</w:t>
            </w:r>
          </w:p>
        </w:tc>
        <w:tc>
          <w:tcPr>
            <w:tcW w:type="dxa" w:w="2351"/>
            <w:shd w:val="clear" w:color="auto" w:fill="E8F4F5"/>
          </w:tcPr>
          <w:p>
            <w:r>
              <w:rPr>
                <w:sz w:val="18"/>
              </w:rPr>
              <w:t>✓ 'We understand that a health challenge can be worrying. Our team is with you every step.'  ✗ 'Patient to present at registration counter for processing.'</w:t>
            </w:r>
          </w:p>
        </w:tc>
      </w:tr>
      <w:tr>
        <w:tc>
          <w:tcPr>
            <w:tcW w:type="dxa" w:w="2351"/>
            <w:shd w:val="clear" w:color="auto" w:fill="FFFFFF"/>
          </w:tcPr>
          <w:p>
            <w:r>
              <w:rPr>
                <w:sz w:val="18"/>
              </w:rPr>
              <w:t>Expert &amp; Trustworthy</w:t>
            </w:r>
          </w:p>
        </w:tc>
        <w:tc>
          <w:tcPr>
            <w:tcW w:type="dxa" w:w="2351"/>
            <w:shd w:val="clear" w:color="auto" w:fill="FFFFFF"/>
          </w:tcPr>
          <w:p>
            <w:r>
              <w:rPr>
                <w:sz w:val="18"/>
              </w:rPr>
              <w:t>Evidence-based, qualified, clear</w:t>
            </w:r>
          </w:p>
        </w:tc>
        <w:tc>
          <w:tcPr>
            <w:tcW w:type="dxa" w:w="2351"/>
            <w:shd w:val="clear" w:color="auto" w:fill="FFFFFF"/>
          </w:tcPr>
          <w:p>
            <w:r>
              <w:rPr>
                <w:sz w:val="18"/>
              </w:rPr>
              <w:t>Jargon-heavy, inaccessible, condescending</w:t>
            </w:r>
          </w:p>
        </w:tc>
        <w:tc>
          <w:tcPr>
            <w:tcW w:type="dxa" w:w="2351"/>
            <w:shd w:val="clear" w:color="auto" w:fill="FFFFFF"/>
          </w:tcPr>
          <w:p>
            <w:r>
              <w:rPr>
                <w:sz w:val="18"/>
              </w:rPr>
              <w:t>✓ 'Our oncologists — trained at leading global centres — offer personalised treatment plans.'  ✗ 'Tumour microenvironment modulation optimises immunotherapy efficacy.'</w:t>
            </w:r>
          </w:p>
        </w:tc>
      </w:tr>
      <w:tr>
        <w:tc>
          <w:tcPr>
            <w:tcW w:type="dxa" w:w="2351"/>
            <w:shd w:val="clear" w:color="auto" w:fill="E8F4F5"/>
          </w:tcPr>
          <w:p>
            <w:r>
              <w:rPr>
                <w:sz w:val="18"/>
              </w:rPr>
              <w:t>Optimistic &amp; Empowering</w:t>
            </w:r>
          </w:p>
        </w:tc>
        <w:tc>
          <w:tcPr>
            <w:tcW w:type="dxa" w:w="2351"/>
            <w:shd w:val="clear" w:color="auto" w:fill="E8F4F5"/>
          </w:tcPr>
          <w:p>
            <w:r>
              <w:rPr>
                <w:sz w:val="18"/>
              </w:rPr>
              <w:t>Positive, forward-looking, enabling</w:t>
            </w:r>
          </w:p>
        </w:tc>
        <w:tc>
          <w:tcPr>
            <w:tcW w:type="dxa" w:w="2351"/>
            <w:shd w:val="clear" w:color="auto" w:fill="E8F4F5"/>
          </w:tcPr>
          <w:p>
            <w:r>
              <w:rPr>
                <w:sz w:val="18"/>
              </w:rPr>
              <w:t>Dismissive of health anxiety, over-promising</w:t>
            </w:r>
          </w:p>
        </w:tc>
        <w:tc>
          <w:tcPr>
            <w:tcW w:type="dxa" w:w="2351"/>
            <w:shd w:val="clear" w:color="auto" w:fill="E8F4F5"/>
          </w:tcPr>
          <w:p>
            <w:r>
              <w:rPr>
                <w:sz w:val="18"/>
              </w:rPr>
              <w:t>✓ 'With the right care and support, many of our patients return to the lives they love.'  ✗ 'Guaranteed full recovery with our world-class team.'</w:t>
            </w:r>
          </w:p>
        </w:tc>
      </w:tr>
      <w:tr>
        <w:tc>
          <w:tcPr>
            <w:tcW w:type="dxa" w:w="2351"/>
            <w:shd w:val="clear" w:color="auto" w:fill="FFFFFF"/>
          </w:tcPr>
          <w:p>
            <w:r>
              <w:rPr>
                <w:sz w:val="18"/>
              </w:rPr>
              <w:t>Clear &amp; Direct</w:t>
            </w:r>
          </w:p>
        </w:tc>
        <w:tc>
          <w:tcPr>
            <w:tcW w:type="dxa" w:w="2351"/>
            <w:shd w:val="clear" w:color="auto" w:fill="FFFFFF"/>
          </w:tcPr>
          <w:p>
            <w:r>
              <w:rPr>
                <w:sz w:val="18"/>
              </w:rPr>
              <w:t>Plain language, structured, scannable</w:t>
            </w:r>
          </w:p>
        </w:tc>
        <w:tc>
          <w:tcPr>
            <w:tcW w:type="dxa" w:w="2351"/>
            <w:shd w:val="clear" w:color="auto" w:fill="FFFFFF"/>
          </w:tcPr>
          <w:p>
            <w:r>
              <w:rPr>
                <w:sz w:val="18"/>
              </w:rPr>
              <w:t>Ambiguous, verbose, jargon-laden</w:t>
            </w:r>
          </w:p>
        </w:tc>
        <w:tc>
          <w:tcPr>
            <w:tcW w:type="dxa" w:w="2351"/>
            <w:shd w:val="clear" w:color="auto" w:fill="FFFFFF"/>
          </w:tcPr>
          <w:p>
            <w:r>
              <w:rPr>
                <w:sz w:val="18"/>
              </w:rPr>
              <w:t>✓ Use active voice; sentences &lt;25 words; avoid Latin medical terms in patient-facing content.  ✗ Patient-facing content with ICD-10 codes or clinical abbreviations.</w:t>
            </w:r>
          </w:p>
        </w:tc>
      </w:tr>
    </w:tbl>
    <w:p/>
    <w:p>
      <w:pPr>
        <w:pStyle w:val="Heading2"/>
        <w:spacing w:before="200" w:after="80"/>
      </w:pPr>
      <w:r>
        <w:rPr>
          <w:color w:val="003050"/>
          <w:sz w:val="24"/>
        </w:rPr>
        <w:t>6.2 AI-Assisted Content (Copilot Guidelines)</w:t>
      </w:r>
    </w:p>
    <w:p>
      <w:pPr>
        <w:pStyle w:val="ListBullet"/>
        <w:spacing w:after="40"/>
      </w:pPr>
      <w:r>
        <w:rPr>
          <w:sz w:val="20"/>
        </w:rPr>
        <w:t>Content generated by Microsoft 365 Copilot must be reviewed and edited by a qualified human author before publication.</w:t>
      </w:r>
    </w:p>
    <w:p>
      <w:pPr>
        <w:pStyle w:val="ListBullet"/>
        <w:spacing w:after="40"/>
      </w:pPr>
      <w:r>
        <w:rPr>
          <w:sz w:val="20"/>
        </w:rPr>
        <w:t>Medical or clinical claims in all AI-assisted content must be verified against current clinical guidelines by a licensed clinician.</w:t>
      </w:r>
    </w:p>
    <w:p>
      <w:pPr>
        <w:pStyle w:val="ListBullet"/>
        <w:spacing w:after="40"/>
      </w:pPr>
      <w:r>
        <w:rPr>
          <w:sz w:val="20"/>
        </w:rPr>
        <w:t>Use the Contoso Tone of Voice checklist (form MKT-TOV-02) when reviewing AI-generated copy.</w:t>
      </w:r>
    </w:p>
    <w:p>
      <w:pPr>
        <w:pStyle w:val="ListBullet"/>
        <w:spacing w:after="40"/>
      </w:pPr>
      <w:r>
        <w:rPr>
          <w:sz w:val="20"/>
        </w:rPr>
        <w:t>Disclose use of AI in content creation in internal workflow logs, not in patient-facing materials.</w:t>
      </w:r>
    </w:p>
    <w:p>
      <w:pPr>
        <w:pStyle w:val="ListBullet"/>
        <w:spacing w:after="40"/>
      </w:pPr>
      <w:r>
        <w:rPr>
          <w:sz w:val="20"/>
        </w:rPr>
        <w:t>AI translation (e.g., English to Bahasa Malaysia or Mandarin) must be reviewed by a native-speaker staff member before publication.</w:t>
      </w:r>
    </w:p>
    <w:p>
      <w:pPr>
        <w:pStyle w:val="Heading1"/>
        <w:spacing w:before="280" w:after="120"/>
      </w:pPr>
      <w:r>
        <w:rPr>
          <w:color w:val="007B8A"/>
          <w:sz w:val="30"/>
        </w:rPr>
        <w:t>7. Digital Brand Standards</w:t>
      </w:r>
    </w:p>
    <w:p>
      <w:pPr>
        <w:pStyle w:val="Heading2"/>
        <w:spacing w:before="200" w:after="80"/>
      </w:pPr>
      <w:r>
        <w:rPr>
          <w:color w:val="003050"/>
          <w:sz w:val="24"/>
        </w:rPr>
        <w:t>7.1 Website and Patient Portal</w:t>
      </w:r>
    </w:p>
    <w:p>
      <w:pPr>
        <w:spacing w:after="120"/>
      </w:pPr>
      <w:r>
        <w:rPr>
          <w:b w:val="0"/>
          <w:i w:val="0"/>
          <w:sz w:val="20"/>
        </w:rPr>
        <w:t>The Contoso Healthcare Group website (contosohealthcare.com.my) and Contoso MyHealth patient portal are the primary digital brand touchpoints. Both platforms use the Group's Figma design system ("Contoso Design System v2.0"), maintained by the Group Digital team.</w:t>
      </w:r>
    </w:p>
    <w:p>
      <w:pPr>
        <w:pStyle w:val="ListBullet"/>
        <w:spacing w:after="40"/>
      </w:pPr>
      <w:r>
        <w:rPr>
          <w:sz w:val="20"/>
        </w:rPr>
        <w:t>Website refresh cycle: full redesign every 3 years; minor updates quarterly.</w:t>
      </w:r>
    </w:p>
    <w:p>
      <w:pPr>
        <w:pStyle w:val="ListBullet"/>
        <w:spacing w:after="40"/>
      </w:pPr>
      <w:r>
        <w:rPr>
          <w:sz w:val="20"/>
        </w:rPr>
        <w:t>Content freshness: all clinical service page content reviewed annually by clinical heads.</w:t>
      </w:r>
    </w:p>
    <w:p>
      <w:pPr>
        <w:pStyle w:val="ListBullet"/>
        <w:spacing w:after="40"/>
      </w:pPr>
      <w:r>
        <w:rPr>
          <w:sz w:val="20"/>
        </w:rPr>
        <w:t>SEO: targeted keywords reviewed quarterly; page speed target &lt;2.5 seconds (LCP) on mobile.</w:t>
      </w:r>
    </w:p>
    <w:p>
      <w:pPr>
        <w:pStyle w:val="ListBullet"/>
        <w:spacing w:after="40"/>
      </w:pPr>
      <w:r>
        <w:rPr>
          <w:sz w:val="20"/>
        </w:rPr>
        <w:t>WCAG 2.1 Level AA accessibility compliance: mandatory audit annually.</w:t>
      </w:r>
    </w:p>
    <w:p>
      <w:pPr>
        <w:pStyle w:val="Heading2"/>
        <w:spacing w:before="200" w:after="80"/>
      </w:pPr>
      <w:r>
        <w:rPr>
          <w:color w:val="003050"/>
          <w:sz w:val="24"/>
        </w:rPr>
        <w:t>7.2 Social Media Governance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7B8A"/>
          </w:tcPr>
          <w:p>
            <w:pPr>
              <w:jc w:val="center"/>
            </w:pPr>
            <w:r>
              <w:rPr>
                <w:b/>
                <w:color w:val="FFFFFF"/>
                <w:sz w:val="18"/>
              </w:rPr>
              <w:t>Platform</w:t>
            </w:r>
          </w:p>
        </w:tc>
        <w:tc>
          <w:tcPr>
            <w:tcW w:type="dxa" w:w="1881"/>
            <w:shd w:val="clear" w:color="auto" w:fill="007B8A"/>
          </w:tcPr>
          <w:p>
            <w:pPr>
              <w:jc w:val="center"/>
            </w:pPr>
            <w:r>
              <w:rPr>
                <w:b/>
                <w:color w:val="FFFFFF"/>
                <w:sz w:val="18"/>
              </w:rPr>
              <w:t>Channel Owner</w:t>
            </w:r>
          </w:p>
        </w:tc>
        <w:tc>
          <w:tcPr>
            <w:tcW w:type="dxa" w:w="1881"/>
            <w:shd w:val="clear" w:color="auto" w:fill="007B8A"/>
          </w:tcPr>
          <w:p>
            <w:pPr>
              <w:jc w:val="center"/>
            </w:pPr>
            <w:r>
              <w:rPr>
                <w:b/>
                <w:color w:val="FFFFFF"/>
                <w:sz w:val="18"/>
              </w:rPr>
              <w:t>Content Pillar</w:t>
            </w:r>
          </w:p>
        </w:tc>
        <w:tc>
          <w:tcPr>
            <w:tcW w:type="dxa" w:w="1881"/>
            <w:shd w:val="clear" w:color="auto" w:fill="007B8A"/>
          </w:tcPr>
          <w:p>
            <w:pPr>
              <w:jc w:val="center"/>
            </w:pPr>
            <w:r>
              <w:rPr>
                <w:b/>
                <w:color w:val="FFFFFF"/>
                <w:sz w:val="18"/>
              </w:rPr>
              <w:t>Posting Frequency</w:t>
            </w:r>
          </w:p>
        </w:tc>
        <w:tc>
          <w:tcPr>
            <w:tcW w:type="dxa" w:w="1881"/>
            <w:shd w:val="clear" w:color="auto" w:fill="007B8A"/>
          </w:tcPr>
          <w:p>
            <w:pPr>
              <w:jc w:val="center"/>
            </w:pPr>
            <w:r>
              <w:rPr>
                <w:b/>
                <w:color w:val="FFFFFF"/>
                <w:sz w:val="18"/>
              </w:rPr>
              <w:t>Approval</w:t>
            </w:r>
          </w:p>
        </w:tc>
      </w:tr>
      <w:tr>
        <w:tc>
          <w:tcPr>
            <w:tcW w:type="dxa" w:w="1881"/>
            <w:shd w:val="clear" w:color="auto" w:fill="E8F4F5"/>
          </w:tcPr>
          <w:p>
            <w:r>
              <w:rPr>
                <w:sz w:val="18"/>
              </w:rPr>
              <w:t>Facebook</w:t>
            </w:r>
          </w:p>
        </w:tc>
        <w:tc>
          <w:tcPr>
            <w:tcW w:type="dxa" w:w="1881"/>
            <w:shd w:val="clear" w:color="auto" w:fill="E8F4F5"/>
          </w:tcPr>
          <w:p>
            <w:r>
              <w:rPr>
                <w:sz w:val="18"/>
              </w:rPr>
              <w:t>Group Marketing</w:t>
            </w:r>
          </w:p>
        </w:tc>
        <w:tc>
          <w:tcPr>
            <w:tcW w:type="dxa" w:w="1881"/>
            <w:shd w:val="clear" w:color="auto" w:fill="E8F4F5"/>
          </w:tcPr>
          <w:p>
            <w:r>
              <w:rPr>
                <w:sz w:val="18"/>
              </w:rPr>
              <w:t>Patient stories; community health; event promotion</w:t>
            </w:r>
          </w:p>
        </w:tc>
        <w:tc>
          <w:tcPr>
            <w:tcW w:type="dxa" w:w="1881"/>
            <w:shd w:val="clear" w:color="auto" w:fill="E8F4F5"/>
          </w:tcPr>
          <w:p>
            <w:r>
              <w:rPr>
                <w:sz w:val="18"/>
              </w:rPr>
              <w:t>3–5 per week</w:t>
            </w:r>
          </w:p>
        </w:tc>
        <w:tc>
          <w:tcPr>
            <w:tcW w:type="dxa" w:w="1881"/>
            <w:shd w:val="clear" w:color="auto" w:fill="E8F4F5"/>
          </w:tcPr>
          <w:p>
            <w:r>
              <w:rPr>
                <w:sz w:val="18"/>
              </w:rPr>
              <w:t>Marketing Executive + Manager</w:t>
            </w:r>
          </w:p>
        </w:tc>
      </w:tr>
      <w:tr>
        <w:tc>
          <w:tcPr>
            <w:tcW w:type="dxa" w:w="1881"/>
            <w:shd w:val="clear" w:color="auto" w:fill="FFFFFF"/>
          </w:tcPr>
          <w:p>
            <w:r>
              <w:rPr>
                <w:sz w:val="18"/>
              </w:rPr>
              <w:t>Instagram</w:t>
            </w:r>
          </w:p>
        </w:tc>
        <w:tc>
          <w:tcPr>
            <w:tcW w:type="dxa" w:w="1881"/>
            <w:shd w:val="clear" w:color="auto" w:fill="FFFFFF"/>
          </w:tcPr>
          <w:p>
            <w:r>
              <w:rPr>
                <w:sz w:val="18"/>
              </w:rPr>
              <w:t>Group Marketing</w:t>
            </w:r>
          </w:p>
        </w:tc>
        <w:tc>
          <w:tcPr>
            <w:tcW w:type="dxa" w:w="1881"/>
            <w:shd w:val="clear" w:color="auto" w:fill="FFFFFF"/>
          </w:tcPr>
          <w:p>
            <w:r>
              <w:rPr>
                <w:sz w:val="18"/>
              </w:rPr>
              <w:t>Visual health tips; facility showcase; staff stories</w:t>
            </w:r>
          </w:p>
        </w:tc>
        <w:tc>
          <w:tcPr>
            <w:tcW w:type="dxa" w:w="1881"/>
            <w:shd w:val="clear" w:color="auto" w:fill="FFFFFF"/>
          </w:tcPr>
          <w:p>
            <w:r>
              <w:rPr>
                <w:sz w:val="18"/>
              </w:rPr>
              <w:t>4–6 per week</w:t>
            </w:r>
          </w:p>
        </w:tc>
        <w:tc>
          <w:tcPr>
            <w:tcW w:type="dxa" w:w="1881"/>
            <w:shd w:val="clear" w:color="auto" w:fill="FFFFFF"/>
          </w:tcPr>
          <w:p>
            <w:r>
              <w:rPr>
                <w:sz w:val="18"/>
              </w:rPr>
              <w:t>Marketing Executive + Manager</w:t>
            </w:r>
          </w:p>
        </w:tc>
      </w:tr>
      <w:tr>
        <w:tc>
          <w:tcPr>
            <w:tcW w:type="dxa" w:w="1881"/>
            <w:shd w:val="clear" w:color="auto" w:fill="E8F4F5"/>
          </w:tcPr>
          <w:p>
            <w:r>
              <w:rPr>
                <w:sz w:val="18"/>
              </w:rPr>
              <w:t>LinkedIn</w:t>
            </w:r>
          </w:p>
        </w:tc>
        <w:tc>
          <w:tcPr>
            <w:tcW w:type="dxa" w:w="1881"/>
            <w:shd w:val="clear" w:color="auto" w:fill="E8F4F5"/>
          </w:tcPr>
          <w:p>
            <w:r>
              <w:rPr>
                <w:sz w:val="18"/>
              </w:rPr>
              <w:t>Group Corporate Affairs</w:t>
            </w:r>
          </w:p>
        </w:tc>
        <w:tc>
          <w:tcPr>
            <w:tcW w:type="dxa" w:w="1881"/>
            <w:shd w:val="clear" w:color="auto" w:fill="E8F4F5"/>
          </w:tcPr>
          <w:p>
            <w:r>
              <w:rPr>
                <w:sz w:val="18"/>
              </w:rPr>
              <w:t>Clinical excellence; ESG; career; investor relations</w:t>
            </w:r>
          </w:p>
        </w:tc>
        <w:tc>
          <w:tcPr>
            <w:tcW w:type="dxa" w:w="1881"/>
            <w:shd w:val="clear" w:color="auto" w:fill="E8F4F5"/>
          </w:tcPr>
          <w:p>
            <w:r>
              <w:rPr>
                <w:sz w:val="18"/>
              </w:rPr>
              <w:t>2–3 per week</w:t>
            </w:r>
          </w:p>
        </w:tc>
        <w:tc>
          <w:tcPr>
            <w:tcW w:type="dxa" w:w="1881"/>
            <w:shd w:val="clear" w:color="auto" w:fill="E8F4F5"/>
          </w:tcPr>
          <w:p>
            <w:r>
              <w:rPr>
                <w:sz w:val="18"/>
              </w:rPr>
              <w:t>Corporate Affairs + CEO office</w:t>
            </w:r>
          </w:p>
        </w:tc>
      </w:tr>
      <w:tr>
        <w:tc>
          <w:tcPr>
            <w:tcW w:type="dxa" w:w="1881"/>
            <w:shd w:val="clear" w:color="auto" w:fill="FFFFFF"/>
          </w:tcPr>
          <w:p>
            <w:r>
              <w:rPr>
                <w:sz w:val="18"/>
              </w:rPr>
              <w:t>TikTok</w:t>
            </w:r>
          </w:p>
        </w:tc>
        <w:tc>
          <w:tcPr>
            <w:tcW w:type="dxa" w:w="1881"/>
            <w:shd w:val="clear" w:color="auto" w:fill="FFFFFF"/>
          </w:tcPr>
          <w:p>
            <w:r>
              <w:rPr>
                <w:sz w:val="18"/>
              </w:rPr>
              <w:t>Group Marketing (KL &amp; PJ)</w:t>
            </w:r>
          </w:p>
        </w:tc>
        <w:tc>
          <w:tcPr>
            <w:tcW w:type="dxa" w:w="1881"/>
            <w:shd w:val="clear" w:color="auto" w:fill="FFFFFF"/>
          </w:tcPr>
          <w:p>
            <w:r>
              <w:rPr>
                <w:sz w:val="18"/>
              </w:rPr>
              <w:t>Health education; behind-the-scenes; staff culture</w:t>
            </w:r>
          </w:p>
        </w:tc>
        <w:tc>
          <w:tcPr>
            <w:tcW w:type="dxa" w:w="1881"/>
            <w:shd w:val="clear" w:color="auto" w:fill="FFFFFF"/>
          </w:tcPr>
          <w:p>
            <w:r>
              <w:rPr>
                <w:sz w:val="18"/>
              </w:rPr>
              <w:t>2–3 per week</w:t>
            </w:r>
          </w:p>
        </w:tc>
        <w:tc>
          <w:tcPr>
            <w:tcW w:type="dxa" w:w="1881"/>
            <w:shd w:val="clear" w:color="auto" w:fill="FFFFFF"/>
          </w:tcPr>
          <w:p>
            <w:r>
              <w:rPr>
                <w:sz w:val="18"/>
              </w:rPr>
              <w:t>Senior Marketing Manager</w:t>
            </w:r>
          </w:p>
        </w:tc>
      </w:tr>
      <w:tr>
        <w:tc>
          <w:tcPr>
            <w:tcW w:type="dxa" w:w="1881"/>
            <w:shd w:val="clear" w:color="auto" w:fill="E8F4F5"/>
          </w:tcPr>
          <w:p>
            <w:r>
              <w:rPr>
                <w:sz w:val="18"/>
              </w:rPr>
              <w:t>YouTube</w:t>
            </w:r>
          </w:p>
        </w:tc>
        <w:tc>
          <w:tcPr>
            <w:tcW w:type="dxa" w:w="1881"/>
            <w:shd w:val="clear" w:color="auto" w:fill="E8F4F5"/>
          </w:tcPr>
          <w:p>
            <w:r>
              <w:rPr>
                <w:sz w:val="18"/>
              </w:rPr>
              <w:t>Group Marketing</w:t>
            </w:r>
          </w:p>
        </w:tc>
        <w:tc>
          <w:tcPr>
            <w:tcW w:type="dxa" w:w="1881"/>
            <w:shd w:val="clear" w:color="auto" w:fill="E8F4F5"/>
          </w:tcPr>
          <w:p>
            <w:r>
              <w:rPr>
                <w:sz w:val="18"/>
              </w:rPr>
              <w:t>Patient testimonials; procedure explainers; annual report highlights</w:t>
            </w:r>
          </w:p>
        </w:tc>
        <w:tc>
          <w:tcPr>
            <w:tcW w:type="dxa" w:w="1881"/>
            <w:shd w:val="clear" w:color="auto" w:fill="E8F4F5"/>
          </w:tcPr>
          <w:p>
            <w:r>
              <w:rPr>
                <w:sz w:val="18"/>
              </w:rPr>
              <w:t>1–2 per month</w:t>
            </w:r>
          </w:p>
        </w:tc>
        <w:tc>
          <w:tcPr>
            <w:tcW w:type="dxa" w:w="1881"/>
            <w:shd w:val="clear" w:color="auto" w:fill="E8F4F5"/>
          </w:tcPr>
          <w:p>
            <w:r>
              <w:rPr>
                <w:sz w:val="18"/>
              </w:rPr>
              <w:t>Director of Marketing</w:t>
            </w:r>
          </w:p>
        </w:tc>
      </w:tr>
      <w:tr>
        <w:tc>
          <w:tcPr>
            <w:tcW w:type="dxa" w:w="1881"/>
            <w:shd w:val="clear" w:color="auto" w:fill="FFFFFF"/>
          </w:tcPr>
          <w:p>
            <w:r>
              <w:rPr>
                <w:sz w:val="18"/>
              </w:rPr>
              <w:t>X (Twitter)</w:t>
            </w:r>
          </w:p>
        </w:tc>
        <w:tc>
          <w:tcPr>
            <w:tcW w:type="dxa" w:w="1881"/>
            <w:shd w:val="clear" w:color="auto" w:fill="FFFFFF"/>
          </w:tcPr>
          <w:p>
            <w:r>
              <w:rPr>
                <w:sz w:val="18"/>
              </w:rPr>
              <w:t>Group Corporate Affairs</w:t>
            </w:r>
          </w:p>
        </w:tc>
        <w:tc>
          <w:tcPr>
            <w:tcW w:type="dxa" w:w="1881"/>
            <w:shd w:val="clear" w:color="auto" w:fill="FFFFFF"/>
          </w:tcPr>
          <w:p>
            <w:r>
              <w:rPr>
                <w:sz w:val="18"/>
              </w:rPr>
              <w:t>Institutional; crisis communications; media</w:t>
            </w:r>
          </w:p>
        </w:tc>
        <w:tc>
          <w:tcPr>
            <w:tcW w:type="dxa" w:w="1881"/>
            <w:shd w:val="clear" w:color="auto" w:fill="FFFFFF"/>
          </w:tcPr>
          <w:p>
            <w:r>
              <w:rPr>
                <w:sz w:val="18"/>
              </w:rPr>
              <w:t>As needed</w:t>
            </w:r>
          </w:p>
        </w:tc>
        <w:tc>
          <w:tcPr>
            <w:tcW w:type="dxa" w:w="1881"/>
            <w:shd w:val="clear" w:color="auto" w:fill="FFFFFF"/>
          </w:tcPr>
          <w:p>
            <w:r>
              <w:rPr>
                <w:sz w:val="18"/>
              </w:rPr>
              <w:t>Corporate Affairs Director</w:t>
            </w:r>
          </w:p>
        </w:tc>
      </w:tr>
    </w:tbl>
    <w:p/>
    <w:p>
      <w:pPr>
        <w:pStyle w:val="Heading2"/>
        <w:spacing w:before="200" w:after="80"/>
      </w:pPr>
      <w:r>
        <w:rPr>
          <w:color w:val="003050"/>
          <w:sz w:val="24"/>
        </w:rPr>
        <w:t>7.3 Email Communications</w:t>
      </w:r>
    </w:p>
    <w:p>
      <w:pPr>
        <w:pStyle w:val="ListBullet"/>
        <w:spacing w:after="40"/>
      </w:pPr>
      <w:r>
        <w:rPr>
          <w:sz w:val="20"/>
        </w:rPr>
        <w:t>All mass email communications to patients must use the approved Contoso MyHealth email template (Mailchimp / HubSpot).</w:t>
      </w:r>
    </w:p>
    <w:p>
      <w:pPr>
        <w:pStyle w:val="ListBullet"/>
        <w:spacing w:after="40"/>
      </w:pPr>
      <w:r>
        <w:rPr>
          <w:sz w:val="20"/>
        </w:rPr>
        <w:t>Unsubscribe mechanism mandatory in all marketing emails (PDPA and CAN-SPAM compliance).</w:t>
      </w:r>
    </w:p>
    <w:p>
      <w:pPr>
        <w:pStyle w:val="ListBullet"/>
        <w:spacing w:after="40"/>
      </w:pPr>
      <w:r>
        <w:rPr>
          <w:sz w:val="20"/>
        </w:rPr>
        <w:t>Clinical appointment reminders are operational (not marketing) and exempt from unsubscribe requirement, but must include opt-out preference management link.</w:t>
      </w:r>
    </w:p>
    <w:p>
      <w:pPr>
        <w:pStyle w:val="Heading1"/>
        <w:spacing w:before="280" w:after="120"/>
      </w:pPr>
      <w:r>
        <w:rPr>
          <w:color w:val="007B8A"/>
          <w:sz w:val="30"/>
        </w:rPr>
        <w:t>8. Internal Communications and Microsoft 365</w:t>
      </w:r>
    </w:p>
    <w:p>
      <w:pPr>
        <w:pStyle w:val="Heading2"/>
        <w:spacing w:before="200" w:after="80"/>
      </w:pPr>
      <w:r>
        <w:rPr>
          <w:color w:val="003050"/>
          <w:sz w:val="24"/>
        </w:rPr>
        <w:t>8.1 Microsoft 365 Usage Standards</w:t>
      </w:r>
    </w:p>
    <w:p>
      <w:pPr>
        <w:spacing w:after="120"/>
      </w:pPr>
      <w:r>
        <w:rPr>
          <w:b w:val="0"/>
          <w:i w:val="0"/>
          <w:sz w:val="20"/>
        </w:rPr>
        <w:t>Contoso Healthcare Group's standard productivity suite is Microsoft 365 (E3 licence for corporate staff; F3 for frontline). The following standards apply to all internal communications: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7B8A"/>
          </w:tcPr>
          <w:p>
            <w:pPr>
              <w:jc w:val="center"/>
            </w:pPr>
            <w:r>
              <w:rPr>
                <w:b/>
                <w:color w:val="FFFFFF"/>
                <w:sz w:val="18"/>
              </w:rPr>
              <w:t>Tool</w:t>
            </w:r>
          </w:p>
        </w:tc>
        <w:tc>
          <w:tcPr>
            <w:tcW w:type="dxa" w:w="2351"/>
            <w:shd w:val="clear" w:color="auto" w:fill="007B8A"/>
          </w:tcPr>
          <w:p>
            <w:pPr>
              <w:jc w:val="center"/>
            </w:pPr>
            <w:r>
              <w:rPr>
                <w:b/>
                <w:color w:val="FFFFFF"/>
                <w:sz w:val="18"/>
              </w:rPr>
              <w:t>Approved Use</w:t>
            </w:r>
          </w:p>
        </w:tc>
        <w:tc>
          <w:tcPr>
            <w:tcW w:type="dxa" w:w="2351"/>
            <w:shd w:val="clear" w:color="auto" w:fill="007B8A"/>
          </w:tcPr>
          <w:p>
            <w:pPr>
              <w:jc w:val="center"/>
            </w:pPr>
            <w:r>
              <w:rPr>
                <w:b/>
                <w:color w:val="FFFFFF"/>
                <w:sz w:val="18"/>
              </w:rPr>
              <w:t>Prohibited Use</w:t>
            </w:r>
          </w:p>
        </w:tc>
        <w:tc>
          <w:tcPr>
            <w:tcW w:type="dxa" w:w="2351"/>
            <w:shd w:val="clear" w:color="auto" w:fill="007B8A"/>
          </w:tcPr>
          <w:p>
            <w:pPr>
              <w:jc w:val="center"/>
            </w:pPr>
            <w:r>
              <w:rPr>
                <w:b/>
                <w:color w:val="FFFFFF"/>
                <w:sz w:val="18"/>
              </w:rPr>
              <w:t>Owner</w:t>
            </w:r>
          </w:p>
        </w:tc>
      </w:tr>
      <w:tr>
        <w:tc>
          <w:tcPr>
            <w:tcW w:type="dxa" w:w="2351"/>
            <w:shd w:val="clear" w:color="auto" w:fill="E8F4F5"/>
          </w:tcPr>
          <w:p>
            <w:r>
              <w:rPr>
                <w:sz w:val="18"/>
              </w:rPr>
              <w:t>Microsoft Teams</w:t>
            </w:r>
          </w:p>
        </w:tc>
        <w:tc>
          <w:tcPr>
            <w:tcW w:type="dxa" w:w="2351"/>
            <w:shd w:val="clear" w:color="auto" w:fill="E8F4F5"/>
          </w:tcPr>
          <w:p>
            <w:r>
              <w:rPr>
                <w:sz w:val="18"/>
              </w:rPr>
              <w:t>All internal meetings; departmental collaboration; project channels; Copilot-assisted meeting notes</w:t>
            </w:r>
          </w:p>
        </w:tc>
        <w:tc>
          <w:tcPr>
            <w:tcW w:type="dxa" w:w="2351"/>
            <w:shd w:val="clear" w:color="auto" w:fill="E8F4F5"/>
          </w:tcPr>
          <w:p>
            <w:r>
              <w:rPr>
                <w:sz w:val="18"/>
              </w:rPr>
              <w:t>Personal social conversation; sharing unencrypted patient data; external file sharing without DLP check</w:t>
            </w:r>
          </w:p>
        </w:tc>
        <w:tc>
          <w:tcPr>
            <w:tcW w:type="dxa" w:w="2351"/>
            <w:shd w:val="clear" w:color="auto" w:fill="E8F4F5"/>
          </w:tcPr>
          <w:p>
            <w:r>
              <w:rPr>
                <w:sz w:val="18"/>
              </w:rPr>
              <w:t>Group CIO / IT</w:t>
            </w:r>
          </w:p>
        </w:tc>
      </w:tr>
      <w:tr>
        <w:tc>
          <w:tcPr>
            <w:tcW w:type="dxa" w:w="2351"/>
            <w:shd w:val="clear" w:color="auto" w:fill="FFFFFF"/>
          </w:tcPr>
          <w:p>
            <w:r>
              <w:rPr>
                <w:sz w:val="18"/>
              </w:rPr>
              <w:t>Outlook / Exchange</w:t>
            </w:r>
          </w:p>
        </w:tc>
        <w:tc>
          <w:tcPr>
            <w:tcW w:type="dxa" w:w="2351"/>
            <w:shd w:val="clear" w:color="auto" w:fill="FFFFFF"/>
          </w:tcPr>
          <w:p>
            <w:r>
              <w:rPr>
                <w:sz w:val="18"/>
              </w:rPr>
              <w:t>Internal and external email; calendar; scheduling</w:t>
            </w:r>
          </w:p>
        </w:tc>
        <w:tc>
          <w:tcPr>
            <w:tcW w:type="dxa" w:w="2351"/>
            <w:shd w:val="clear" w:color="auto" w:fill="FFFFFF"/>
          </w:tcPr>
          <w:p>
            <w:r>
              <w:rPr>
                <w:sz w:val="18"/>
              </w:rPr>
              <w:t>Mass email to patients outside approved marketing platform; sharing credentials</w:t>
            </w:r>
          </w:p>
        </w:tc>
        <w:tc>
          <w:tcPr>
            <w:tcW w:type="dxa" w:w="2351"/>
            <w:shd w:val="clear" w:color="auto" w:fill="FFFFFF"/>
          </w:tcPr>
          <w:p>
            <w:r>
              <w:rPr>
                <w:sz w:val="18"/>
              </w:rPr>
              <w:t>Group CIO / IT</w:t>
            </w:r>
          </w:p>
        </w:tc>
      </w:tr>
      <w:tr>
        <w:tc>
          <w:tcPr>
            <w:tcW w:type="dxa" w:w="2351"/>
            <w:shd w:val="clear" w:color="auto" w:fill="E8F4F5"/>
          </w:tcPr>
          <w:p>
            <w:r>
              <w:rPr>
                <w:sz w:val="18"/>
              </w:rPr>
              <w:t>SharePoint</w:t>
            </w:r>
          </w:p>
        </w:tc>
        <w:tc>
          <w:tcPr>
            <w:tcW w:type="dxa" w:w="2351"/>
            <w:shd w:val="clear" w:color="auto" w:fill="E8F4F5"/>
          </w:tcPr>
          <w:p>
            <w:r>
              <w:rPr>
                <w:sz w:val="18"/>
              </w:rPr>
              <w:t>Document management; intranet; policy library; brand asset library</w:t>
            </w:r>
          </w:p>
        </w:tc>
        <w:tc>
          <w:tcPr>
            <w:tcW w:type="dxa" w:w="2351"/>
            <w:shd w:val="clear" w:color="auto" w:fill="E8F4F5"/>
          </w:tcPr>
          <w:p>
            <w:r>
              <w:rPr>
                <w:sz w:val="18"/>
              </w:rPr>
              <w:t>Storing patient records (must be in HIS/EHR); public-facing file sharing</w:t>
            </w:r>
          </w:p>
        </w:tc>
        <w:tc>
          <w:tcPr>
            <w:tcW w:type="dxa" w:w="2351"/>
            <w:shd w:val="clear" w:color="auto" w:fill="E8F4F5"/>
          </w:tcPr>
          <w:p>
            <w:r>
              <w:rPr>
                <w:sz w:val="18"/>
              </w:rPr>
              <w:t>Group CIO / IT</w:t>
            </w:r>
          </w:p>
        </w:tc>
      </w:tr>
      <w:tr>
        <w:tc>
          <w:tcPr>
            <w:tcW w:type="dxa" w:w="2351"/>
            <w:shd w:val="clear" w:color="auto" w:fill="FFFFFF"/>
          </w:tcPr>
          <w:p>
            <w:r>
              <w:rPr>
                <w:sz w:val="18"/>
              </w:rPr>
              <w:t>OneDrive</w:t>
            </w:r>
          </w:p>
        </w:tc>
        <w:tc>
          <w:tcPr>
            <w:tcW w:type="dxa" w:w="2351"/>
            <w:shd w:val="clear" w:color="auto" w:fill="FFFFFF"/>
          </w:tcPr>
          <w:p>
            <w:r>
              <w:rPr>
                <w:sz w:val="18"/>
              </w:rPr>
              <w:t>Personal working files; Copilot-integrated drafting</w:t>
            </w:r>
          </w:p>
        </w:tc>
        <w:tc>
          <w:tcPr>
            <w:tcW w:type="dxa" w:w="2351"/>
            <w:shd w:val="clear" w:color="auto" w:fill="FFFFFF"/>
          </w:tcPr>
          <w:p>
            <w:r>
              <w:rPr>
                <w:sz w:val="18"/>
              </w:rPr>
              <w:t>Sole storage of critical documents (must sync to SharePoint); patient-identifiable data</w:t>
            </w:r>
          </w:p>
        </w:tc>
        <w:tc>
          <w:tcPr>
            <w:tcW w:type="dxa" w:w="2351"/>
            <w:shd w:val="clear" w:color="auto" w:fill="FFFFFF"/>
          </w:tcPr>
          <w:p>
            <w:r>
              <w:rPr>
                <w:sz w:val="18"/>
              </w:rPr>
              <w:t>Group CIO / IT</w:t>
            </w:r>
          </w:p>
        </w:tc>
      </w:tr>
      <w:tr>
        <w:tc>
          <w:tcPr>
            <w:tcW w:type="dxa" w:w="2351"/>
            <w:shd w:val="clear" w:color="auto" w:fill="E8F4F5"/>
          </w:tcPr>
          <w:p>
            <w:r>
              <w:rPr>
                <w:sz w:val="18"/>
              </w:rPr>
              <w:t>Microsoft 365 Copilot</w:t>
            </w:r>
          </w:p>
        </w:tc>
        <w:tc>
          <w:tcPr>
            <w:tcW w:type="dxa" w:w="2351"/>
            <w:shd w:val="clear" w:color="auto" w:fill="E8F4F5"/>
          </w:tcPr>
          <w:p>
            <w:r>
              <w:rPr>
                <w:sz w:val="18"/>
              </w:rPr>
              <w:t>Drafting; summarising; data analysis on approved Group data</w:t>
            </w:r>
          </w:p>
        </w:tc>
        <w:tc>
          <w:tcPr>
            <w:tcW w:type="dxa" w:w="2351"/>
            <w:shd w:val="clear" w:color="auto" w:fill="E8F4F5"/>
          </w:tcPr>
          <w:p>
            <w:r>
              <w:rPr>
                <w:sz w:val="18"/>
              </w:rPr>
              <w:t>Inputting patient PII/PHI; clinical decision-making without clinician review</w:t>
            </w:r>
          </w:p>
        </w:tc>
        <w:tc>
          <w:tcPr>
            <w:tcW w:type="dxa" w:w="2351"/>
            <w:shd w:val="clear" w:color="auto" w:fill="E8F4F5"/>
          </w:tcPr>
          <w:p>
            <w:r>
              <w:rPr>
                <w:sz w:val="18"/>
              </w:rPr>
              <w:t>Group CIO + CSO</w:t>
            </w:r>
          </w:p>
        </w:tc>
      </w:tr>
      <w:tr>
        <w:tc>
          <w:tcPr>
            <w:tcW w:type="dxa" w:w="2351"/>
            <w:shd w:val="clear" w:color="auto" w:fill="FFFFFF"/>
          </w:tcPr>
          <w:p>
            <w:r>
              <w:rPr>
                <w:sz w:val="18"/>
              </w:rPr>
              <w:t>Power BI</w:t>
            </w:r>
          </w:p>
        </w:tc>
        <w:tc>
          <w:tcPr>
            <w:tcW w:type="dxa" w:w="2351"/>
            <w:shd w:val="clear" w:color="auto" w:fill="FFFFFF"/>
          </w:tcPr>
          <w:p>
            <w:r>
              <w:rPr>
                <w:sz w:val="18"/>
              </w:rPr>
              <w:t>Operational dashboards; ESG reporting; financial analytics</w:t>
            </w:r>
          </w:p>
        </w:tc>
        <w:tc>
          <w:tcPr>
            <w:tcW w:type="dxa" w:w="2351"/>
            <w:shd w:val="clear" w:color="auto" w:fill="FFFFFF"/>
          </w:tcPr>
          <w:p>
            <w:r>
              <w:rPr>
                <w:sz w:val="18"/>
              </w:rPr>
              <w:t>Sharing externally without anonymisation / approval</w:t>
            </w:r>
          </w:p>
        </w:tc>
        <w:tc>
          <w:tcPr>
            <w:tcW w:type="dxa" w:w="2351"/>
            <w:shd w:val="clear" w:color="auto" w:fill="FFFFFF"/>
          </w:tcPr>
          <w:p>
            <w:r>
              <w:rPr>
                <w:sz w:val="18"/>
              </w:rPr>
              <w:t>Group CIO / Finance</w:t>
            </w:r>
          </w:p>
        </w:tc>
      </w:tr>
    </w:tbl>
    <w:p/>
    <w:p>
      <w:pPr>
        <w:pStyle w:val="Heading2"/>
        <w:spacing w:before="200" w:after="80"/>
      </w:pPr>
      <w:r>
        <w:rPr>
          <w:color w:val="003050"/>
          <w:sz w:val="24"/>
        </w:rPr>
        <w:t>8.2 Town Hall and All-Staff Communications</w:t>
      </w:r>
    </w:p>
    <w:p>
      <w:pPr>
        <w:pStyle w:val="ListBullet"/>
        <w:spacing w:after="40"/>
      </w:pPr>
      <w:r>
        <w:rPr>
          <w:sz w:val="20"/>
        </w:rPr>
        <w:t>Quarterly All-Staff Town Hall: hosted by Group CEO; recorded and posted on SharePoint within 2 business days.</w:t>
      </w:r>
    </w:p>
    <w:p>
      <w:pPr>
        <w:pStyle w:val="ListBullet"/>
        <w:spacing w:after="40"/>
      </w:pPr>
      <w:r>
        <w:rPr>
          <w:sz w:val="20"/>
        </w:rPr>
        <w:t>Hospital-level monthly briefings: Hospital CEO; 30-minute format; Teams Live Events for multi-site attendance.</w:t>
      </w:r>
    </w:p>
    <w:p>
      <w:pPr>
        <w:pStyle w:val="ListBullet"/>
        <w:spacing w:after="40"/>
      </w:pPr>
      <w:r>
        <w:rPr>
          <w:sz w:val="20"/>
        </w:rPr>
        <w:t>Emergency communications: Group Communications Director activates Crisis Communications Plan (COM-CRISIS-001) for events affecting patient safety, reputation, or business continuity.</w:t>
      </w:r>
    </w:p>
    <w:p>
      <w:pPr>
        <w:pStyle w:val="Heading1"/>
        <w:spacing w:before="280" w:after="120"/>
      </w:pPr>
      <w:r>
        <w:rPr>
          <w:color w:val="007B8A"/>
          <w:sz w:val="30"/>
        </w:rPr>
        <w:t>9. Events, Sponsorships, and Partnerships</w:t>
      </w:r>
    </w:p>
    <w:p>
      <w:pPr>
        <w:pStyle w:val="Heading2"/>
        <w:spacing w:before="200" w:after="80"/>
      </w:pPr>
      <w:r>
        <w:rPr>
          <w:color w:val="003050"/>
          <w:sz w:val="24"/>
        </w:rPr>
        <w:t>9.1 Event Brand Standards</w:t>
      </w:r>
    </w:p>
    <w:p>
      <w:pPr>
        <w:spacing w:after="120"/>
      </w:pPr>
      <w:r>
        <w:rPr>
          <w:b w:val="0"/>
          <w:i w:val="0"/>
          <w:sz w:val="20"/>
        </w:rPr>
        <w:t>All Contoso-hosted or co-sponsored events (medical conferences, health screenings, community runs, hospital open days) must use the Contoso Event Branding Kit (available on SharePoint &gt; Marketing &gt; Brand Assets &gt; Events).</w:t>
      </w:r>
    </w:p>
    <w:p>
      <w:pPr>
        <w:pStyle w:val="ListBullet"/>
        <w:spacing w:after="40"/>
      </w:pPr>
      <w:r>
        <w:rPr>
          <w:sz w:val="20"/>
        </w:rPr>
        <w:t>Stage backdrop: Teal (#007B8A) full bleed with white Contoso logo, maximum 25% of backdrop width.</w:t>
      </w:r>
    </w:p>
    <w:p>
      <w:pPr>
        <w:pStyle w:val="ListBullet"/>
        <w:spacing w:after="40"/>
      </w:pPr>
      <w:r>
        <w:rPr>
          <w:sz w:val="20"/>
        </w:rPr>
        <w:t>Pull-up banners: Full Contoso design system; hospital name in footer; QR code linking to event microsite or hospital page.</w:t>
      </w:r>
    </w:p>
    <w:p>
      <w:pPr>
        <w:pStyle w:val="ListBullet"/>
        <w:spacing w:after="40"/>
      </w:pPr>
      <w:r>
        <w:rPr>
          <w:sz w:val="20"/>
        </w:rPr>
        <w:t>Merchandise: Approved items only (cap, pen, tote, hand sanitiser, reusable water bottle) with approved logo placement. No clinical equipment as merchandise.</w:t>
      </w:r>
    </w:p>
    <w:p>
      <w:pPr>
        <w:pStyle w:val="Heading2"/>
        <w:spacing w:before="200" w:after="80"/>
      </w:pPr>
      <w:r>
        <w:rPr>
          <w:color w:val="003050"/>
          <w:sz w:val="24"/>
        </w:rPr>
        <w:t>9.2 Sponsorship Criteria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7B8A"/>
          </w:tcPr>
          <w:p>
            <w:pPr>
              <w:jc w:val="center"/>
            </w:pPr>
            <w:r>
              <w:rPr>
                <w:b/>
                <w:color w:val="FFFFFF"/>
                <w:sz w:val="18"/>
              </w:rPr>
              <w:t>Tier</w:t>
            </w:r>
          </w:p>
        </w:tc>
        <w:tc>
          <w:tcPr>
            <w:tcW w:type="dxa" w:w="1881"/>
            <w:shd w:val="clear" w:color="auto" w:fill="007B8A"/>
          </w:tcPr>
          <w:p>
            <w:pPr>
              <w:jc w:val="center"/>
            </w:pPr>
            <w:r>
              <w:rPr>
                <w:b/>
                <w:color w:val="FFFFFF"/>
                <w:sz w:val="18"/>
              </w:rPr>
              <w:t>Investment Level</w:t>
            </w:r>
          </w:p>
        </w:tc>
        <w:tc>
          <w:tcPr>
            <w:tcW w:type="dxa" w:w="1881"/>
            <w:shd w:val="clear" w:color="auto" w:fill="007B8A"/>
          </w:tcPr>
          <w:p>
            <w:pPr>
              <w:jc w:val="center"/>
            </w:pPr>
            <w:r>
              <w:rPr>
                <w:b/>
                <w:color w:val="FFFFFF"/>
                <w:sz w:val="18"/>
              </w:rPr>
              <w:t>Minimum Criteria</w:t>
            </w:r>
          </w:p>
        </w:tc>
        <w:tc>
          <w:tcPr>
            <w:tcW w:type="dxa" w:w="1881"/>
            <w:shd w:val="clear" w:color="auto" w:fill="007B8A"/>
          </w:tcPr>
          <w:p>
            <w:pPr>
              <w:jc w:val="center"/>
            </w:pPr>
            <w:r>
              <w:rPr>
                <w:b/>
                <w:color w:val="FFFFFF"/>
                <w:sz w:val="18"/>
              </w:rPr>
              <w:t>Examples</w:t>
            </w:r>
          </w:p>
        </w:tc>
        <w:tc>
          <w:tcPr>
            <w:tcW w:type="dxa" w:w="1881"/>
            <w:shd w:val="clear" w:color="auto" w:fill="007B8A"/>
          </w:tcPr>
          <w:p>
            <w:pPr>
              <w:jc w:val="center"/>
            </w:pPr>
            <w:r>
              <w:rPr>
                <w:b/>
                <w:color w:val="FFFFFF"/>
                <w:sz w:val="18"/>
              </w:rPr>
              <w:t>Approval Authority</w:t>
            </w:r>
          </w:p>
        </w:tc>
      </w:tr>
      <w:tr>
        <w:tc>
          <w:tcPr>
            <w:tcW w:type="dxa" w:w="1881"/>
            <w:shd w:val="clear" w:color="auto" w:fill="E8F4F5"/>
          </w:tcPr>
          <w:p>
            <w:r>
              <w:rPr>
                <w:sz w:val="18"/>
              </w:rPr>
              <w:t>Strategic Partner</w:t>
            </w:r>
          </w:p>
        </w:tc>
        <w:tc>
          <w:tcPr>
            <w:tcW w:type="dxa" w:w="1881"/>
            <w:shd w:val="clear" w:color="auto" w:fill="E8F4F5"/>
          </w:tcPr>
          <w:p>
            <w:r>
              <w:rPr>
                <w:sz w:val="18"/>
              </w:rPr>
              <w:t>RM 500K+/year</w:t>
            </w:r>
          </w:p>
        </w:tc>
        <w:tc>
          <w:tcPr>
            <w:tcW w:type="dxa" w:w="1881"/>
            <w:shd w:val="clear" w:color="auto" w:fill="E8F4F5"/>
          </w:tcPr>
          <w:p>
            <w:r>
              <w:rPr>
                <w:sz w:val="18"/>
              </w:rPr>
              <w:t>Healthcare/wellness sector alignment; no conflict; &gt;50K audience reach</w:t>
            </w:r>
          </w:p>
        </w:tc>
        <w:tc>
          <w:tcPr>
            <w:tcW w:type="dxa" w:w="1881"/>
            <w:shd w:val="clear" w:color="auto" w:fill="E8F4F5"/>
          </w:tcPr>
          <w:p>
            <w:r>
              <w:rPr>
                <w:sz w:val="18"/>
              </w:rPr>
              <w:t>Allianz Malaysia; Prudential BSN Takaful; AIA Malaysia</w:t>
            </w:r>
          </w:p>
        </w:tc>
        <w:tc>
          <w:tcPr>
            <w:tcW w:type="dxa" w:w="1881"/>
            <w:shd w:val="clear" w:color="auto" w:fill="E8F4F5"/>
          </w:tcPr>
          <w:p>
            <w:r>
              <w:rPr>
                <w:sz w:val="18"/>
              </w:rPr>
              <w:t>Group CEO + Board</w:t>
            </w:r>
          </w:p>
        </w:tc>
      </w:tr>
      <w:tr>
        <w:tc>
          <w:tcPr>
            <w:tcW w:type="dxa" w:w="1881"/>
            <w:shd w:val="clear" w:color="auto" w:fill="FFFFFF"/>
          </w:tcPr>
          <w:p>
            <w:r>
              <w:rPr>
                <w:sz w:val="18"/>
              </w:rPr>
              <w:t>Premium Sponsor</w:t>
            </w:r>
          </w:p>
        </w:tc>
        <w:tc>
          <w:tcPr>
            <w:tcW w:type="dxa" w:w="1881"/>
            <w:shd w:val="clear" w:color="auto" w:fill="FFFFFF"/>
          </w:tcPr>
          <w:p>
            <w:r>
              <w:rPr>
                <w:sz w:val="18"/>
              </w:rPr>
              <w:t>RM 100K–500K</w:t>
            </w:r>
          </w:p>
        </w:tc>
        <w:tc>
          <w:tcPr>
            <w:tcW w:type="dxa" w:w="1881"/>
            <w:shd w:val="clear" w:color="auto" w:fill="FFFFFF"/>
          </w:tcPr>
          <w:p>
            <w:r>
              <w:rPr>
                <w:sz w:val="18"/>
              </w:rPr>
              <w:t>Brand safety assessment; &gt;10K audience reach; Contoso logo prominent</w:t>
            </w:r>
          </w:p>
        </w:tc>
        <w:tc>
          <w:tcPr>
            <w:tcW w:type="dxa" w:w="1881"/>
            <w:shd w:val="clear" w:color="auto" w:fill="FFFFFF"/>
          </w:tcPr>
          <w:p>
            <w:r>
              <w:rPr>
                <w:sz w:val="18"/>
              </w:rPr>
              <w:t>Medical device companies; healthcare IT; private ambulance</w:t>
            </w:r>
          </w:p>
        </w:tc>
        <w:tc>
          <w:tcPr>
            <w:tcW w:type="dxa" w:w="1881"/>
            <w:shd w:val="clear" w:color="auto" w:fill="FFFFFF"/>
          </w:tcPr>
          <w:p>
            <w:r>
              <w:rPr>
                <w:sz w:val="18"/>
              </w:rPr>
              <w:t>Group CEO</w:t>
            </w:r>
          </w:p>
        </w:tc>
      </w:tr>
      <w:tr>
        <w:tc>
          <w:tcPr>
            <w:tcW w:type="dxa" w:w="1881"/>
            <w:shd w:val="clear" w:color="auto" w:fill="E8F4F5"/>
          </w:tcPr>
          <w:p>
            <w:r>
              <w:rPr>
                <w:sz w:val="18"/>
              </w:rPr>
              <w:t>Community Sponsor</w:t>
            </w:r>
          </w:p>
        </w:tc>
        <w:tc>
          <w:tcPr>
            <w:tcW w:type="dxa" w:w="1881"/>
            <w:shd w:val="clear" w:color="auto" w:fill="E8F4F5"/>
          </w:tcPr>
          <w:p>
            <w:r>
              <w:rPr>
                <w:sz w:val="18"/>
              </w:rPr>
              <w:t>&lt;RM 100K</w:t>
            </w:r>
          </w:p>
        </w:tc>
        <w:tc>
          <w:tcPr>
            <w:tcW w:type="dxa" w:w="1881"/>
            <w:shd w:val="clear" w:color="auto" w:fill="E8F4F5"/>
          </w:tcPr>
          <w:p>
            <w:r>
              <w:rPr>
                <w:sz w:val="18"/>
              </w:rPr>
              <w:t>Local community relevance; non-conflicting</w:t>
            </w:r>
          </w:p>
        </w:tc>
        <w:tc>
          <w:tcPr>
            <w:tcW w:type="dxa" w:w="1881"/>
            <w:shd w:val="clear" w:color="auto" w:fill="E8F4F5"/>
          </w:tcPr>
          <w:p>
            <w:r>
              <w:rPr>
                <w:sz w:val="18"/>
              </w:rPr>
              <w:t>NGOs; Rotary; school health fairs; community marathons</w:t>
            </w:r>
          </w:p>
        </w:tc>
        <w:tc>
          <w:tcPr>
            <w:tcW w:type="dxa" w:w="1881"/>
            <w:shd w:val="clear" w:color="auto" w:fill="E8F4F5"/>
          </w:tcPr>
          <w:p>
            <w:r>
              <w:rPr>
                <w:sz w:val="18"/>
              </w:rPr>
              <w:t>Hospital CEO + Marketing Director</w:t>
            </w:r>
          </w:p>
        </w:tc>
      </w:tr>
      <w:tr>
        <w:tc>
          <w:tcPr>
            <w:tcW w:type="dxa" w:w="1881"/>
            <w:shd w:val="clear" w:color="auto" w:fill="FFFFFF"/>
          </w:tcPr>
          <w:p>
            <w:r>
              <w:rPr>
                <w:sz w:val="18"/>
              </w:rPr>
              <w:t>Prohibited</w:t>
            </w:r>
          </w:p>
        </w:tc>
        <w:tc>
          <w:tcPr>
            <w:tcW w:type="dxa" w:w="1881"/>
            <w:shd w:val="clear" w:color="auto" w:fill="FFFFFF"/>
          </w:tcPr>
          <w:p>
            <w:r>
              <w:rPr>
                <w:sz w:val="18"/>
              </w:rPr>
              <w:t>Any amount</w:t>
            </w:r>
          </w:p>
        </w:tc>
        <w:tc>
          <w:tcPr>
            <w:tcW w:type="dxa" w:w="1881"/>
            <w:shd w:val="clear" w:color="auto" w:fill="FFFFFF"/>
          </w:tcPr>
          <w:p>
            <w:r>
              <w:rPr>
                <w:sz w:val="18"/>
              </w:rPr>
              <w:t>Tobacco, alcohol, gambling, political parties, competing hospitals</w:t>
            </w:r>
          </w:p>
        </w:tc>
        <w:tc>
          <w:tcPr>
            <w:tcW w:type="dxa" w:w="1881"/>
            <w:shd w:val="clear" w:color="auto" w:fill="FFFFFF"/>
          </w:tcPr>
          <w:p>
            <w:r>
              <w:rPr>
                <w:sz w:val="18"/>
              </w:rPr>
              <w:t>–</w:t>
            </w:r>
          </w:p>
        </w:tc>
        <w:tc>
          <w:tcPr>
            <w:tcW w:type="dxa" w:w="1881"/>
            <w:shd w:val="clear" w:color="auto" w:fill="FFFFFF"/>
          </w:tcPr>
          <w:p>
            <w:r>
              <w:rPr>
                <w:sz w:val="18"/>
              </w:rPr>
              <w:t>N/A</w:t>
            </w:r>
          </w:p>
        </w:tc>
      </w:tr>
    </w:tbl>
    <w:p/>
    <w:p>
      <w:pPr>
        <w:pStyle w:val="Heading1"/>
        <w:spacing w:before="280" w:after="120"/>
      </w:pPr>
      <w:r>
        <w:rPr>
          <w:color w:val="007B8A"/>
          <w:sz w:val="30"/>
        </w:rPr>
        <w:t>10. Brand Governance and Compliance</w:t>
      </w:r>
    </w:p>
    <w:p>
      <w:pPr>
        <w:pStyle w:val="Heading2"/>
        <w:spacing w:before="200" w:after="80"/>
      </w:pPr>
      <w:r>
        <w:rPr>
          <w:color w:val="003050"/>
          <w:sz w:val="24"/>
        </w:rPr>
        <w:t>10.1 Brand Approval Workflow</w:t>
      </w:r>
    </w:p>
    <w:p>
      <w:pPr>
        <w:spacing w:after="120"/>
      </w:pPr>
      <w:r>
        <w:rPr>
          <w:b w:val="0"/>
          <w:i w:val="0"/>
          <w:sz w:val="20"/>
        </w:rPr>
        <w:t>All external communications materials (including patient-facing content, press releases, advertising, social media campaigns, and event collateral) must follow the Contoso Brand Approval Workflow:</w:t>
      </w:r>
    </w:p>
    <w:p>
      <w:pPr>
        <w:pStyle w:val="ListBullet"/>
        <w:spacing w:after="40"/>
      </w:pPr>
      <w:r>
        <w:rPr>
          <w:sz w:val="20"/>
        </w:rPr>
        <w:t>Step 1: Brief submitted to Group Marketing using Form MKT-BRIEF-01 (minimum 5 working days for standard approvals).</w:t>
      </w:r>
    </w:p>
    <w:p>
      <w:pPr>
        <w:pStyle w:val="ListBullet"/>
        <w:spacing w:after="40"/>
      </w:pPr>
      <w:r>
        <w:rPr>
          <w:sz w:val="20"/>
        </w:rPr>
        <w:t>Step 2: Creative development by approved agency or in-house team using Contoso Design System.</w:t>
      </w:r>
    </w:p>
    <w:p>
      <w:pPr>
        <w:pStyle w:val="ListBullet"/>
        <w:spacing w:after="40"/>
      </w:pPr>
      <w:r>
        <w:rPr>
          <w:sz w:val="20"/>
        </w:rPr>
        <w:t>Step 3: Brand review by Group Marketing Manager (within 2 working days).</w:t>
      </w:r>
    </w:p>
    <w:p>
      <w:pPr>
        <w:pStyle w:val="ListBullet"/>
        <w:spacing w:after="40"/>
      </w:pPr>
      <w:r>
        <w:rPr>
          <w:sz w:val="20"/>
        </w:rPr>
        <w:t>Step 4: Legal/compliance sign-off for any clinical claims or regulated content (3 working days).</w:t>
      </w:r>
    </w:p>
    <w:p>
      <w:pPr>
        <w:pStyle w:val="ListBullet"/>
        <w:spacing w:after="40"/>
      </w:pPr>
      <w:r>
        <w:rPr>
          <w:sz w:val="20"/>
        </w:rPr>
        <w:t>Step 5: Director of Marketing final approval for campaigns &gt;RM 50K or &gt;100K impressions.</w:t>
      </w:r>
    </w:p>
    <w:p>
      <w:pPr>
        <w:pStyle w:val="ListBullet"/>
        <w:spacing w:after="40"/>
      </w:pPr>
      <w:r>
        <w:rPr>
          <w:sz w:val="20"/>
        </w:rPr>
        <w:t>Step 6: Publication/distribution. All approved assets uploaded to SharePoint Brand Asset Library within 1 working day of publication.</w:t>
      </w:r>
    </w:p>
    <w:p>
      <w:pPr>
        <w:pStyle w:val="Heading2"/>
        <w:spacing w:before="200" w:after="80"/>
      </w:pPr>
      <w:r>
        <w:rPr>
          <w:color w:val="003050"/>
          <w:sz w:val="24"/>
        </w:rPr>
        <w:t>10.2 Brand Audit Schedule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007B8A"/>
          </w:tcPr>
          <w:p>
            <w:pPr>
              <w:jc w:val="center"/>
            </w:pPr>
            <w:r>
              <w:rPr>
                <w:b/>
                <w:color w:val="FFFFFF"/>
                <w:sz w:val="18"/>
              </w:rPr>
              <w:t>Audit Type</w:t>
            </w:r>
          </w:p>
        </w:tc>
        <w:tc>
          <w:tcPr>
            <w:tcW w:type="dxa" w:w="1881"/>
            <w:shd w:val="clear" w:color="auto" w:fill="007B8A"/>
          </w:tcPr>
          <w:p>
            <w:pPr>
              <w:jc w:val="center"/>
            </w:pPr>
            <w:r>
              <w:rPr>
                <w:b/>
                <w:color w:val="FFFFFF"/>
                <w:sz w:val="18"/>
              </w:rPr>
              <w:t>Frequency</w:t>
            </w:r>
          </w:p>
        </w:tc>
        <w:tc>
          <w:tcPr>
            <w:tcW w:type="dxa" w:w="1881"/>
            <w:shd w:val="clear" w:color="auto" w:fill="007B8A"/>
          </w:tcPr>
          <w:p>
            <w:pPr>
              <w:jc w:val="center"/>
            </w:pPr>
            <w:r>
              <w:rPr>
                <w:b/>
                <w:color w:val="FFFFFF"/>
                <w:sz w:val="18"/>
              </w:rPr>
              <w:t>Scope</w:t>
            </w:r>
          </w:p>
        </w:tc>
        <w:tc>
          <w:tcPr>
            <w:tcW w:type="dxa" w:w="1881"/>
            <w:shd w:val="clear" w:color="auto" w:fill="007B8A"/>
          </w:tcPr>
          <w:p>
            <w:pPr>
              <w:jc w:val="center"/>
            </w:pPr>
            <w:r>
              <w:rPr>
                <w:b/>
                <w:color w:val="FFFFFF"/>
                <w:sz w:val="18"/>
              </w:rPr>
              <w:t>Owner</w:t>
            </w:r>
          </w:p>
        </w:tc>
        <w:tc>
          <w:tcPr>
            <w:tcW w:type="dxa" w:w="1881"/>
            <w:shd w:val="clear" w:color="auto" w:fill="007B8A"/>
          </w:tcPr>
          <w:p>
            <w:pPr>
              <w:jc w:val="center"/>
            </w:pPr>
            <w:r>
              <w:rPr>
                <w:b/>
                <w:color w:val="FFFFFF"/>
                <w:sz w:val="18"/>
              </w:rPr>
              <w:t>Last Completed</w:t>
            </w:r>
          </w:p>
        </w:tc>
      </w:tr>
      <w:tr>
        <w:tc>
          <w:tcPr>
            <w:tcW w:type="dxa" w:w="1881"/>
            <w:shd w:val="clear" w:color="auto" w:fill="E8F4F5"/>
          </w:tcPr>
          <w:p>
            <w:r>
              <w:rPr>
                <w:sz w:val="18"/>
              </w:rPr>
              <w:t>Internal Brand Compliance Audit</w:t>
            </w:r>
          </w:p>
        </w:tc>
        <w:tc>
          <w:tcPr>
            <w:tcW w:type="dxa" w:w="1881"/>
            <w:shd w:val="clear" w:color="auto" w:fill="E8F4F5"/>
          </w:tcPr>
          <w:p>
            <w:r>
              <w:rPr>
                <w:sz w:val="18"/>
              </w:rPr>
              <w:t>Annual</w:t>
            </w:r>
          </w:p>
        </w:tc>
        <w:tc>
          <w:tcPr>
            <w:tcW w:type="dxa" w:w="1881"/>
            <w:shd w:val="clear" w:color="auto" w:fill="E8F4F5"/>
          </w:tcPr>
          <w:p>
            <w:r>
              <w:rPr>
                <w:sz w:val="18"/>
              </w:rPr>
              <w:t>All 6 hospitals; wayfinding; print; digital; uniforms</w:t>
            </w:r>
          </w:p>
        </w:tc>
        <w:tc>
          <w:tcPr>
            <w:tcW w:type="dxa" w:w="1881"/>
            <w:shd w:val="clear" w:color="auto" w:fill="E8F4F5"/>
          </w:tcPr>
          <w:p>
            <w:r>
              <w:rPr>
                <w:sz w:val="18"/>
              </w:rPr>
              <w:t>Group Marketing Manager</w:t>
            </w:r>
          </w:p>
        </w:tc>
        <w:tc>
          <w:tcPr>
            <w:tcW w:type="dxa" w:w="1881"/>
            <w:shd w:val="clear" w:color="auto" w:fill="E8F4F5"/>
          </w:tcPr>
          <w:p>
            <w:r>
              <w:rPr>
                <w:sz w:val="18"/>
              </w:rPr>
              <w:t>March 2025</w:t>
            </w:r>
          </w:p>
        </w:tc>
      </w:tr>
      <w:tr>
        <w:tc>
          <w:tcPr>
            <w:tcW w:type="dxa" w:w="1881"/>
            <w:shd w:val="clear" w:color="auto" w:fill="FFFFFF"/>
          </w:tcPr>
          <w:p>
            <w:r>
              <w:rPr>
                <w:sz w:val="18"/>
              </w:rPr>
              <w:t>External Brand Perception Survey</w:t>
            </w:r>
          </w:p>
        </w:tc>
        <w:tc>
          <w:tcPr>
            <w:tcW w:type="dxa" w:w="1881"/>
            <w:shd w:val="clear" w:color="auto" w:fill="FFFFFF"/>
          </w:tcPr>
          <w:p>
            <w:r>
              <w:rPr>
                <w:sz w:val="18"/>
              </w:rPr>
              <w:t>Bi-annual</w:t>
            </w:r>
          </w:p>
        </w:tc>
        <w:tc>
          <w:tcPr>
            <w:tcW w:type="dxa" w:w="1881"/>
            <w:shd w:val="clear" w:color="auto" w:fill="FFFFFF"/>
          </w:tcPr>
          <w:p>
            <w:r>
              <w:rPr>
                <w:sz w:val="18"/>
              </w:rPr>
              <w:t>Patient and community survey (min n=500 per hospital)</w:t>
            </w:r>
          </w:p>
        </w:tc>
        <w:tc>
          <w:tcPr>
            <w:tcW w:type="dxa" w:w="1881"/>
            <w:shd w:val="clear" w:color="auto" w:fill="FFFFFF"/>
          </w:tcPr>
          <w:p>
            <w:r>
              <w:rPr>
                <w:sz w:val="18"/>
              </w:rPr>
              <w:t>Group Marketing Director</w:t>
            </w:r>
          </w:p>
        </w:tc>
        <w:tc>
          <w:tcPr>
            <w:tcW w:type="dxa" w:w="1881"/>
            <w:shd w:val="clear" w:color="auto" w:fill="FFFFFF"/>
          </w:tcPr>
          <w:p>
            <w:r>
              <w:rPr>
                <w:sz w:val="18"/>
              </w:rPr>
              <w:t>November 2024</w:t>
            </w:r>
          </w:p>
        </w:tc>
      </w:tr>
      <w:tr>
        <w:tc>
          <w:tcPr>
            <w:tcW w:type="dxa" w:w="1881"/>
            <w:shd w:val="clear" w:color="auto" w:fill="E8F4F5"/>
          </w:tcPr>
          <w:p>
            <w:r>
              <w:rPr>
                <w:sz w:val="18"/>
              </w:rPr>
              <w:t>Digital Accessibility Audit (WCAG)</w:t>
            </w:r>
          </w:p>
        </w:tc>
        <w:tc>
          <w:tcPr>
            <w:tcW w:type="dxa" w:w="1881"/>
            <w:shd w:val="clear" w:color="auto" w:fill="E8F4F5"/>
          </w:tcPr>
          <w:p>
            <w:r>
              <w:rPr>
                <w:sz w:val="18"/>
              </w:rPr>
              <w:t>Annual</w:t>
            </w:r>
          </w:p>
        </w:tc>
        <w:tc>
          <w:tcPr>
            <w:tcW w:type="dxa" w:w="1881"/>
            <w:shd w:val="clear" w:color="auto" w:fill="E8F4F5"/>
          </w:tcPr>
          <w:p>
            <w:r>
              <w:rPr>
                <w:sz w:val="18"/>
              </w:rPr>
              <w:t>Website; patient portal; patient app</w:t>
            </w:r>
          </w:p>
        </w:tc>
        <w:tc>
          <w:tcPr>
            <w:tcW w:type="dxa" w:w="1881"/>
            <w:shd w:val="clear" w:color="auto" w:fill="E8F4F5"/>
          </w:tcPr>
          <w:p>
            <w:r>
              <w:rPr>
                <w:sz w:val="18"/>
              </w:rPr>
              <w:t>Group CIO + Digital Agency</w:t>
            </w:r>
          </w:p>
        </w:tc>
        <w:tc>
          <w:tcPr>
            <w:tcW w:type="dxa" w:w="1881"/>
            <w:shd w:val="clear" w:color="auto" w:fill="E8F4F5"/>
          </w:tcPr>
          <w:p>
            <w:r>
              <w:rPr>
                <w:sz w:val="18"/>
              </w:rPr>
              <w:t>January 2025</w:t>
            </w:r>
          </w:p>
        </w:tc>
      </w:tr>
      <w:tr>
        <w:tc>
          <w:tcPr>
            <w:tcW w:type="dxa" w:w="1881"/>
            <w:shd w:val="clear" w:color="auto" w:fill="FFFFFF"/>
          </w:tcPr>
          <w:p>
            <w:r>
              <w:rPr>
                <w:sz w:val="18"/>
              </w:rPr>
              <w:t>Social Media Brand Audit</w:t>
            </w:r>
          </w:p>
        </w:tc>
        <w:tc>
          <w:tcPr>
            <w:tcW w:type="dxa" w:w="1881"/>
            <w:shd w:val="clear" w:color="auto" w:fill="FFFFFF"/>
          </w:tcPr>
          <w:p>
            <w:r>
              <w:rPr>
                <w:sz w:val="18"/>
              </w:rPr>
              <w:t>Quarterly</w:t>
            </w:r>
          </w:p>
        </w:tc>
        <w:tc>
          <w:tcPr>
            <w:tcW w:type="dxa" w:w="1881"/>
            <w:shd w:val="clear" w:color="auto" w:fill="FFFFFF"/>
          </w:tcPr>
          <w:p>
            <w:r>
              <w:rPr>
                <w:sz w:val="18"/>
              </w:rPr>
              <w:t>All active channels; tone; visual compliance</w:t>
            </w:r>
          </w:p>
        </w:tc>
        <w:tc>
          <w:tcPr>
            <w:tcW w:type="dxa" w:w="1881"/>
            <w:shd w:val="clear" w:color="auto" w:fill="FFFFFF"/>
          </w:tcPr>
          <w:p>
            <w:r>
              <w:rPr>
                <w:sz w:val="18"/>
              </w:rPr>
              <w:t>Group Social Media Manager</w:t>
            </w:r>
          </w:p>
        </w:tc>
        <w:tc>
          <w:tcPr>
            <w:tcW w:type="dxa" w:w="1881"/>
            <w:shd w:val="clear" w:color="auto" w:fill="FFFFFF"/>
          </w:tcPr>
          <w:p>
            <w:r>
              <w:rPr>
                <w:sz w:val="18"/>
              </w:rPr>
              <w:t>June 2025</w:t>
            </w:r>
          </w:p>
        </w:tc>
      </w:tr>
      <w:tr>
        <w:tc>
          <w:tcPr>
            <w:tcW w:type="dxa" w:w="1881"/>
            <w:shd w:val="clear" w:color="auto" w:fill="E8F4F5"/>
          </w:tcPr>
          <w:p>
            <w:r>
              <w:rPr>
                <w:sz w:val="18"/>
              </w:rPr>
              <w:t>Agency Brand Induction</w:t>
            </w:r>
          </w:p>
        </w:tc>
        <w:tc>
          <w:tcPr>
            <w:tcW w:type="dxa" w:w="1881"/>
            <w:shd w:val="clear" w:color="auto" w:fill="E8F4F5"/>
          </w:tcPr>
          <w:p>
            <w:r>
              <w:rPr>
                <w:sz w:val="18"/>
              </w:rPr>
              <w:t>Per engagement</w:t>
            </w:r>
          </w:p>
        </w:tc>
        <w:tc>
          <w:tcPr>
            <w:tcW w:type="dxa" w:w="1881"/>
            <w:shd w:val="clear" w:color="auto" w:fill="E8F4F5"/>
          </w:tcPr>
          <w:p>
            <w:r>
              <w:rPr>
                <w:sz w:val="18"/>
              </w:rPr>
              <w:t>All new agencies and contractors</w:t>
            </w:r>
          </w:p>
        </w:tc>
        <w:tc>
          <w:tcPr>
            <w:tcW w:type="dxa" w:w="1881"/>
            <w:shd w:val="clear" w:color="auto" w:fill="E8F4F5"/>
          </w:tcPr>
          <w:p>
            <w:r>
              <w:rPr>
                <w:sz w:val="18"/>
              </w:rPr>
              <w:t>Group Marketing Manager</w:t>
            </w:r>
          </w:p>
        </w:tc>
        <w:tc>
          <w:tcPr>
            <w:tcW w:type="dxa" w:w="1881"/>
            <w:shd w:val="clear" w:color="auto" w:fill="E8F4F5"/>
          </w:tcPr>
          <w:p>
            <w:r>
              <w:rPr>
                <w:sz w:val="18"/>
              </w:rPr>
              <w:t>Ongoing</w:t>
            </w:r>
          </w:p>
        </w:tc>
      </w:tr>
    </w:tbl>
    <w:p/>
    <w:p>
      <w:pPr>
        <w:pStyle w:val="Heading2"/>
        <w:spacing w:before="200" w:after="80"/>
      </w:pPr>
      <w:r>
        <w:rPr>
          <w:color w:val="003050"/>
          <w:sz w:val="24"/>
        </w:rPr>
        <w:t>10.3 Brand Queries and Escalation</w:t>
      </w:r>
    </w:p>
    <w:p>
      <w:pPr>
        <w:spacing w:after="120"/>
      </w:pPr>
      <w:r>
        <w:rPr>
          <w:b w:val="0"/>
          <w:i w:val="0"/>
          <w:sz w:val="20"/>
        </w:rPr>
        <w:t>For brand queries, asset requests, or compliance concerns, contact: brandteam@contosohealthcare.com.my or the Group Marketing Director via Microsoft Teams. Response SLA: 1 business day for urgent; 3 business days for standard requests.</w:t>
      </w:r>
    </w:p>
    <w:p>
      <w:pPr>
        <w:spacing w:after="120"/>
      </w:pPr>
      <w:r>
        <w:rPr>
          <w:b w:val="0"/>
          <w:i w:val="0"/>
          <w:sz w:val="20"/>
        </w:rPr>
        <w:t>Breaches of brand guidelines may result in disciplinary action under Group HR Policy (POL-HR-003). Serious external brand breaches must be escalated to the Group CEO within 24 hours.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