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E7480"/>
          <w:sz w:val="18"/>
        </w:rPr>
        <w:t>IHH HEALTHCARE BERHAD</w:t>
      </w:r>
    </w:p>
    <w:p>
      <w:r>
        <w:rPr>
          <w:b/>
          <w:color w:val="00695C"/>
          <w:sz w:val="40"/>
        </w:rPr>
        <w:t>Infection Prevention and Control Policy</w:t>
      </w:r>
    </w:p>
    <w:p>
      <w:r>
        <w:rPr>
          <w:color w:val="5E7480"/>
          <w:sz w:val="22"/>
        </w:rPr>
        <w:t>Group Clinical Governance - Policy and Standard Operating Procedure</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2412"/>
          </w:tcPr>
          <w:p>
            <w:r>
              <w:rPr>
                <w:b/>
                <w:sz w:val="17"/>
              </w:rPr>
              <w:t>Document reference</w:t>
            </w:r>
          </w:p>
        </w:tc>
        <w:tc>
          <w:tcPr>
            <w:tcW w:type="dxa" w:w="2412"/>
          </w:tcPr>
          <w:p>
            <w:r>
              <w:rPr>
                <w:sz w:val="17"/>
              </w:rPr>
              <w:t>IHH-CG-IPC-014</w:t>
            </w:r>
          </w:p>
        </w:tc>
        <w:tc>
          <w:tcPr>
            <w:tcW w:type="dxa" w:w="2412"/>
          </w:tcPr>
          <w:p>
            <w:r>
              <w:rPr>
                <w:b/>
                <w:sz w:val="17"/>
              </w:rPr>
              <w:t>Version</w:t>
            </w:r>
          </w:p>
        </w:tc>
        <w:tc>
          <w:tcPr>
            <w:tcW w:type="dxa" w:w="2412"/>
          </w:tcPr>
          <w:p>
            <w:r>
              <w:rPr>
                <w:sz w:val="17"/>
              </w:rPr>
              <w:t>6.2</w:t>
            </w:r>
          </w:p>
        </w:tc>
      </w:tr>
      <w:tr>
        <w:tc>
          <w:tcPr>
            <w:tcW w:type="dxa" w:w="2412"/>
          </w:tcPr>
          <w:p>
            <w:r>
              <w:rPr>
                <w:b/>
                <w:sz w:val="17"/>
              </w:rPr>
              <w:t>Document owner</w:t>
            </w:r>
          </w:p>
        </w:tc>
        <w:tc>
          <w:tcPr>
            <w:tcW w:type="dxa" w:w="2412"/>
          </w:tcPr>
          <w:p>
            <w:r>
              <w:rPr>
                <w:sz w:val="17"/>
              </w:rPr>
              <w:t>Group Head of Quality and Patient Safety</w:t>
            </w:r>
          </w:p>
        </w:tc>
        <w:tc>
          <w:tcPr>
            <w:tcW w:type="dxa" w:w="2412"/>
          </w:tcPr>
          <w:p>
            <w:r>
              <w:rPr>
                <w:b/>
                <w:sz w:val="17"/>
              </w:rPr>
              <w:t>Effective date</w:t>
            </w:r>
          </w:p>
        </w:tc>
        <w:tc>
          <w:tcPr>
            <w:tcW w:type="dxa" w:w="2412"/>
          </w:tcPr>
          <w:p>
            <w:r>
              <w:rPr>
                <w:sz w:val="17"/>
              </w:rPr>
              <w:t>1 April 2026</w:t>
            </w:r>
          </w:p>
        </w:tc>
      </w:tr>
      <w:tr>
        <w:tc>
          <w:tcPr>
            <w:tcW w:type="dxa" w:w="2412"/>
          </w:tcPr>
          <w:p>
            <w:r>
              <w:rPr>
                <w:b/>
                <w:sz w:val="17"/>
              </w:rPr>
              <w:t>Applies to</w:t>
            </w:r>
          </w:p>
        </w:tc>
        <w:tc>
          <w:tcPr>
            <w:tcW w:type="dxa" w:w="2412"/>
          </w:tcPr>
          <w:p>
            <w:r>
              <w:rPr>
                <w:sz w:val="17"/>
              </w:rPr>
              <w:t>All IHH Healthcare operating entities</w:t>
            </w:r>
          </w:p>
        </w:tc>
        <w:tc>
          <w:tcPr>
            <w:tcW w:type="dxa" w:w="2412"/>
          </w:tcPr>
          <w:p>
            <w:r>
              <w:rPr>
                <w:b/>
                <w:sz w:val="17"/>
              </w:rPr>
              <w:t>Next review</w:t>
            </w:r>
          </w:p>
        </w:tc>
        <w:tc>
          <w:tcPr>
            <w:tcW w:type="dxa" w:w="2412"/>
          </w:tcPr>
          <w:p>
            <w:r>
              <w:rPr>
                <w:sz w:val="17"/>
              </w:rPr>
              <w:t>31 March 2027</w:t>
            </w:r>
          </w:p>
        </w:tc>
      </w:tr>
      <w:tr>
        <w:tc>
          <w:tcPr>
            <w:tcW w:type="dxa" w:w="2412"/>
          </w:tcPr>
          <w:p>
            <w:r>
              <w:rPr>
                <w:b/>
                <w:sz w:val="17"/>
              </w:rPr>
              <w:t>Classification</w:t>
            </w:r>
          </w:p>
        </w:tc>
        <w:tc>
          <w:tcPr>
            <w:tcW w:type="dxa" w:w="2412"/>
          </w:tcPr>
          <w:p>
            <w:r>
              <w:rPr>
                <w:sz w:val="17"/>
              </w:rPr>
              <w:t>Internal - training sample</w:t>
            </w:r>
          </w:p>
        </w:tc>
        <w:tc>
          <w:tcPr>
            <w:tcW w:type="dxa" w:w="2412"/>
          </w:tcPr>
          <w:p>
            <w:r>
              <w:rPr>
                <w:b/>
                <w:sz w:val="17"/>
              </w:rPr>
              <w:t>Status</w:t>
            </w:r>
          </w:p>
        </w:tc>
        <w:tc>
          <w:tcPr>
            <w:tcW w:type="dxa" w:w="2412"/>
          </w:tcPr>
          <w:p>
            <w:r>
              <w:rPr>
                <w:sz w:val="17"/>
              </w:rPr>
              <w:t>Approved</w:t>
            </w:r>
          </w:p>
        </w:tc>
      </w:tr>
    </w:tbl>
    <w:p/>
    <w:p>
      <w:r>
        <w:rPr>
          <w:b/>
          <w:color w:val="B71C1C"/>
          <w:sz w:val="17"/>
        </w:rPr>
        <w:t>SAMPLE DOCUMENT - FOR MICROSOFT 365 COPILOT TRAINING ONLY. This document is synthetic. It was written for the IHH Copilot hands-on labs on 1 and 17 September 2026 and does not represent any actual IHH Healthcare policy, contract, committee decision or commercial term. Do not rely on it operationally.</w:t>
      </w:r>
    </w:p>
    <w:p/>
    <w:p>
      <w:r>
        <w:rPr>
          <w:b/>
          <w:color w:val="00695C"/>
          <w:sz w:val="27"/>
        </w:rPr>
        <w:t>1. Purpose</w:t>
      </w:r>
    </w:p>
    <w:p>
      <w:pPr>
        <w:spacing w:after="120"/>
      </w:pPr>
      <w:r>
        <w:t>This policy sets the minimum standard for the prevention and control of healthcare-associated infection across all IHH Healthcare hospitals, day surgery centres, ambulatory clinics and laboratory facilities. It defines the mandatory controls, the roles accountable for each control, the surveillance required to demonstrate compliance, and the escalation path when a control fails.</w:t>
      </w:r>
    </w:p>
    <w:p>
      <w:pPr>
        <w:spacing w:after="120"/>
      </w:pPr>
      <w:r>
        <w:t>The policy exists to protect patients, staff, visitors and contractors from avoidable infection, and to ensure IHH meets the accreditation requirements of the Joint Commission International, the Malaysian Society of Quality in Health, and the relevant national health authority in each jurisdiction in which the Group operates.</w:t>
      </w:r>
    </w:p>
    <w:p>
      <w:r>
        <w:rPr>
          <w:b/>
          <w:color w:val="00695C"/>
          <w:sz w:val="27"/>
        </w:rPr>
        <w:t>2. Scope</w:t>
      </w:r>
    </w:p>
    <w:p>
      <w:pPr>
        <w:spacing w:after="120"/>
      </w:pPr>
      <w:r>
        <w:t>This policy applies to every person who delivers, supports or supervises care in an IHH facility. That includes employed clinical staff, visiting consultants with admitting rights, agency and locum staff, allied health professionals, students on clinical placement, outsourced cleaning and catering personnel, biomedical engineering contractors, and any third party performing work in a clinical area.</w:t>
      </w:r>
    </w:p>
    <w:p>
      <w:pPr>
        <w:spacing w:after="120"/>
      </w:pPr>
      <w:r>
        <w:t>The policy covers all inpatient wards, critical care units, operating theatres, endoscopy suites, day surgery units, emergency departments, outpatient clinics, dialysis units, oncology day care, diagnostic imaging, laboratories, sterile services departments, pharmacy clean rooms and mortuary services.</w:t>
      </w:r>
    </w:p>
    <w:p>
      <w:r>
        <w:rPr>
          <w:b/>
          <w:color w:val="00695C"/>
          <w:sz w:val="27"/>
        </w:rPr>
        <w:t>3. Definitions</w:t>
      </w:r>
    </w:p>
    <w:tbl>
      <w:tblPr>
        <w:tblStyle w:val="LightGrid-Accent1"/>
        <w:tblW w:type="auto" w:w="0"/>
        <w:tblLook w:firstColumn="1" w:firstRow="1" w:lastColumn="0" w:lastRow="0" w:noHBand="0" w:noVBand="1" w:val="04A0"/>
      </w:tblPr>
      <w:tblGrid>
        <w:gridCol w:w="4824"/>
        <w:gridCol w:w="4824"/>
      </w:tblGrid>
      <w:tr>
        <w:tc>
          <w:tcPr>
            <w:tcW w:type="dxa" w:w="2736"/>
          </w:tcPr>
          <w:p>
            <w:r>
              <w:rPr>
                <w:b/>
                <w:sz w:val="18"/>
              </w:rPr>
              <w:t>Term</w:t>
            </w:r>
          </w:p>
        </w:tc>
        <w:tc>
          <w:tcPr>
            <w:tcW w:type="dxa" w:w="6624"/>
          </w:tcPr>
          <w:p>
            <w:r>
              <w:rPr>
                <w:b/>
                <w:sz w:val="18"/>
              </w:rPr>
              <w:t>Definition</w:t>
            </w:r>
          </w:p>
        </w:tc>
      </w:tr>
      <w:tr>
        <w:tc>
          <w:tcPr>
            <w:tcW w:type="dxa" w:w="2736"/>
          </w:tcPr>
          <w:p>
            <w:r>
              <w:rPr>
                <w:sz w:val="18"/>
              </w:rPr>
              <w:t>Healthcare-associated infection (HAI)</w:t>
            </w:r>
          </w:p>
        </w:tc>
        <w:tc>
          <w:tcPr>
            <w:tcW w:type="dxa" w:w="6624"/>
          </w:tcPr>
          <w:p>
            <w:r>
              <w:rPr>
                <w:sz w:val="18"/>
              </w:rPr>
              <w:t>An infection occurring in a patient during the process of care in a hospital or other healthcare facility which was not present or incubating at the time of admission.</w:t>
            </w:r>
          </w:p>
        </w:tc>
      </w:tr>
      <w:tr>
        <w:tc>
          <w:tcPr>
            <w:tcW w:type="dxa" w:w="2736"/>
          </w:tcPr>
          <w:p>
            <w:r>
              <w:rPr>
                <w:sz w:val="18"/>
              </w:rPr>
              <w:t>Standard precautions</w:t>
            </w:r>
          </w:p>
        </w:tc>
        <w:tc>
          <w:tcPr>
            <w:tcW w:type="dxa" w:w="6624"/>
          </w:tcPr>
          <w:p>
            <w:r>
              <w:rPr>
                <w:sz w:val="18"/>
              </w:rPr>
              <w:t>The minimum infection prevention practices that apply to all patient care, regardless of suspected or confirmed infection status, in any setting where healthcare is delivered.</w:t>
            </w:r>
          </w:p>
        </w:tc>
      </w:tr>
      <w:tr>
        <w:tc>
          <w:tcPr>
            <w:tcW w:type="dxa" w:w="2736"/>
          </w:tcPr>
          <w:p>
            <w:r>
              <w:rPr>
                <w:sz w:val="18"/>
              </w:rPr>
              <w:t>Transmission-based precautions</w:t>
            </w:r>
          </w:p>
        </w:tc>
        <w:tc>
          <w:tcPr>
            <w:tcW w:type="dxa" w:w="6624"/>
          </w:tcPr>
          <w:p>
            <w:r>
              <w:rPr>
                <w:sz w:val="18"/>
              </w:rPr>
              <w:t>Additional precautions applied in addition to standard precautions for patients with known or suspected infection transmitted by contact, droplet or airborne routes.</w:t>
            </w:r>
          </w:p>
        </w:tc>
      </w:tr>
      <w:tr>
        <w:tc>
          <w:tcPr>
            <w:tcW w:type="dxa" w:w="2736"/>
          </w:tcPr>
          <w:p>
            <w:r>
              <w:rPr>
                <w:sz w:val="18"/>
              </w:rPr>
              <w:t>Multi-drug resistant organism (MDRO)</w:t>
            </w:r>
          </w:p>
        </w:tc>
        <w:tc>
          <w:tcPr>
            <w:tcW w:type="dxa" w:w="6624"/>
          </w:tcPr>
          <w:p>
            <w:r>
              <w:rPr>
                <w:sz w:val="18"/>
              </w:rPr>
              <w:t>A micro-organism resistant to one or more classes of antimicrobial agents, including MRSA, VRE, carbapenem-resistant Enterobacterales and multi-drug resistant Acinetobacter baumannii.</w:t>
            </w:r>
          </w:p>
        </w:tc>
      </w:tr>
      <w:tr>
        <w:tc>
          <w:tcPr>
            <w:tcW w:type="dxa" w:w="2736"/>
          </w:tcPr>
          <w:p>
            <w:r>
              <w:rPr>
                <w:sz w:val="18"/>
              </w:rPr>
              <w:t>Hand hygiene opportunity</w:t>
            </w:r>
          </w:p>
        </w:tc>
        <w:tc>
          <w:tcPr>
            <w:tcW w:type="dxa" w:w="6624"/>
          </w:tcPr>
          <w:p>
            <w:r>
              <w:rPr>
                <w:sz w:val="18"/>
              </w:rPr>
              <w:t>A moment during care delivery at which hand hygiene is indicated under the five moments framework.</w:t>
            </w:r>
          </w:p>
        </w:tc>
      </w:tr>
      <w:tr>
        <w:tc>
          <w:tcPr>
            <w:tcW w:type="dxa" w:w="2736"/>
          </w:tcPr>
          <w:p>
            <w:r>
              <w:rPr>
                <w:sz w:val="18"/>
              </w:rPr>
              <w:t>Outbreak</w:t>
            </w:r>
          </w:p>
        </w:tc>
        <w:tc>
          <w:tcPr>
            <w:tcW w:type="dxa" w:w="6624"/>
          </w:tcPr>
          <w:p>
            <w:r>
              <w:rPr>
                <w:sz w:val="18"/>
              </w:rPr>
              <w:t>Two or more epidemiologically linked cases of infection with the same organism occurring within a defined time period and location above the expected baseline for that unit.</w:t>
            </w:r>
          </w:p>
        </w:tc>
      </w:tr>
      <w:tr>
        <w:tc>
          <w:tcPr>
            <w:tcW w:type="dxa" w:w="2736"/>
          </w:tcPr>
          <w:p>
            <w:r>
              <w:rPr>
                <w:sz w:val="18"/>
              </w:rPr>
              <w:t>High-consequence infectious disease</w:t>
            </w:r>
          </w:p>
        </w:tc>
        <w:tc>
          <w:tcPr>
            <w:tcW w:type="dxa" w:w="6624"/>
          </w:tcPr>
          <w:p>
            <w:r>
              <w:rPr>
                <w:sz w:val="18"/>
              </w:rPr>
              <w:t>An infectious disease with a high case fatality rate, no effective prophylaxis or treatment, and the potential for rapid spread, requiring national notification.</w:t>
            </w:r>
          </w:p>
        </w:tc>
      </w:tr>
    </w:tbl>
    <w:p/>
    <w:p>
      <w:r>
        <w:rPr>
          <w:b/>
          <w:color w:val="00695C"/>
          <w:sz w:val="27"/>
        </w:rPr>
        <w:t>4. Accountability and Governance</w:t>
      </w:r>
    </w:p>
    <w:p>
      <w:pPr>
        <w:spacing w:after="120"/>
      </w:pPr>
      <w:r>
        <w:t>The Group Chief Medical Officer holds overall accountability for infection prevention and control performance across IHH Healthcare. Accountability cascades as follows.</w:t>
      </w:r>
    </w:p>
    <w:tbl>
      <w:tblPr>
        <w:tblStyle w:val="LightGrid-Accent1"/>
        <w:tblW w:type="auto" w:w="0"/>
        <w:tblLook w:firstColumn="1" w:firstRow="1" w:lastColumn="0" w:lastRow="0" w:noHBand="0" w:noVBand="1" w:val="04A0"/>
      </w:tblPr>
      <w:tblGrid>
        <w:gridCol w:w="4824"/>
        <w:gridCol w:w="4824"/>
      </w:tblGrid>
      <w:tr>
        <w:tc>
          <w:tcPr>
            <w:tcW w:type="dxa" w:w="2880"/>
          </w:tcPr>
          <w:p>
            <w:r>
              <w:rPr>
                <w:b/>
                <w:sz w:val="18"/>
              </w:rPr>
              <w:t>Role</w:t>
            </w:r>
          </w:p>
        </w:tc>
        <w:tc>
          <w:tcPr>
            <w:tcW w:type="dxa" w:w="6480"/>
          </w:tcPr>
          <w:p>
            <w:r>
              <w:rPr>
                <w:b/>
                <w:sz w:val="18"/>
              </w:rPr>
              <w:t>Accountability</w:t>
            </w:r>
          </w:p>
        </w:tc>
      </w:tr>
      <w:tr>
        <w:tc>
          <w:tcPr>
            <w:tcW w:type="dxa" w:w="2880"/>
          </w:tcPr>
          <w:p>
            <w:r>
              <w:rPr>
                <w:sz w:val="18"/>
              </w:rPr>
              <w:t>Group Chief Medical Officer</w:t>
            </w:r>
          </w:p>
        </w:tc>
        <w:tc>
          <w:tcPr>
            <w:tcW w:type="dxa" w:w="6480"/>
          </w:tcPr>
          <w:p>
            <w:r>
              <w:rPr>
                <w:sz w:val="18"/>
              </w:rPr>
              <w:t>Overall accountability for IPC performance; chairs the Group Clinical Governance Committee; approves this policy and any Group-level exception.</w:t>
            </w:r>
          </w:p>
        </w:tc>
      </w:tr>
      <w:tr>
        <w:tc>
          <w:tcPr>
            <w:tcW w:type="dxa" w:w="2880"/>
          </w:tcPr>
          <w:p>
            <w:r>
              <w:rPr>
                <w:sz w:val="18"/>
              </w:rPr>
              <w:t>Hospital Chief Executive Officer</w:t>
            </w:r>
          </w:p>
        </w:tc>
        <w:tc>
          <w:tcPr>
            <w:tcW w:type="dxa" w:w="6480"/>
          </w:tcPr>
          <w:p>
            <w:r>
              <w:rPr>
                <w:sz w:val="18"/>
              </w:rPr>
              <w:t>Accountable for IPC performance at their facility; ensures resources, staffing and physical infrastructure are sufficient to meet this policy.</w:t>
            </w:r>
          </w:p>
        </w:tc>
      </w:tr>
      <w:tr>
        <w:tc>
          <w:tcPr>
            <w:tcW w:type="dxa" w:w="2880"/>
          </w:tcPr>
          <w:p>
            <w:r>
              <w:rPr>
                <w:sz w:val="18"/>
              </w:rPr>
              <w:t>Hospital Infection Control Committee</w:t>
            </w:r>
          </w:p>
        </w:tc>
        <w:tc>
          <w:tcPr>
            <w:tcW w:type="dxa" w:w="6480"/>
          </w:tcPr>
          <w:p>
            <w:r>
              <w:rPr>
                <w:sz w:val="18"/>
              </w:rPr>
              <w:t>Meets at least monthly; reviews surveillance data, outbreak reports, antimicrobial usage and audit results; approves local corrective action plans.</w:t>
            </w:r>
          </w:p>
        </w:tc>
      </w:tr>
      <w:tr>
        <w:tc>
          <w:tcPr>
            <w:tcW w:type="dxa" w:w="2880"/>
          </w:tcPr>
          <w:p>
            <w:r>
              <w:rPr>
                <w:sz w:val="18"/>
              </w:rPr>
              <w:t>Infection Control Nurse (ICN)</w:t>
            </w:r>
          </w:p>
        </w:tc>
        <w:tc>
          <w:tcPr>
            <w:tcW w:type="dxa" w:w="6480"/>
          </w:tcPr>
          <w:p>
            <w:r>
              <w:rPr>
                <w:sz w:val="18"/>
              </w:rPr>
              <w:t>Performs daily surveillance, conducts hand hygiene and environmental audits, investigates suspected outbreaks, and maintains the IPC risk register.</w:t>
            </w:r>
          </w:p>
        </w:tc>
      </w:tr>
      <w:tr>
        <w:tc>
          <w:tcPr>
            <w:tcW w:type="dxa" w:w="2880"/>
          </w:tcPr>
          <w:p>
            <w:r>
              <w:rPr>
                <w:sz w:val="18"/>
              </w:rPr>
              <w:t>Ward Manager / Nurse Manager</w:t>
            </w:r>
          </w:p>
        </w:tc>
        <w:tc>
          <w:tcPr>
            <w:tcW w:type="dxa" w:w="6480"/>
          </w:tcPr>
          <w:p>
            <w:r>
              <w:rPr>
                <w:sz w:val="18"/>
              </w:rPr>
              <w:t>Ensures compliance at unit level; performs weekly spot checks; reports non-compliance within 24 hours; maintains isolation resources on the unit.</w:t>
            </w:r>
          </w:p>
        </w:tc>
      </w:tr>
      <w:tr>
        <w:tc>
          <w:tcPr>
            <w:tcW w:type="dxa" w:w="2880"/>
          </w:tcPr>
          <w:p>
            <w:r>
              <w:rPr>
                <w:sz w:val="18"/>
              </w:rPr>
              <w:t>Attending Consultant</w:t>
            </w:r>
          </w:p>
        </w:tc>
        <w:tc>
          <w:tcPr>
            <w:tcW w:type="dxa" w:w="6480"/>
          </w:tcPr>
          <w:p>
            <w:r>
              <w:rPr>
                <w:sz w:val="18"/>
              </w:rPr>
              <w:t>Ensures appropriate antimicrobial prescribing, timely de-escalation, correct isolation orders, and documentation of infection status in the medical record.</w:t>
            </w:r>
          </w:p>
        </w:tc>
      </w:tr>
      <w:tr>
        <w:tc>
          <w:tcPr>
            <w:tcW w:type="dxa" w:w="2880"/>
          </w:tcPr>
          <w:p>
            <w:r>
              <w:rPr>
                <w:sz w:val="18"/>
              </w:rPr>
              <w:t>All staff and contractors</w:t>
            </w:r>
          </w:p>
        </w:tc>
        <w:tc>
          <w:tcPr>
            <w:tcW w:type="dxa" w:w="6480"/>
          </w:tcPr>
          <w:p>
            <w:r>
              <w:rPr>
                <w:sz w:val="18"/>
              </w:rPr>
              <w:t>Comply with standard precautions at all times; report breaches; complete mandatory annual IPC training.</w:t>
            </w:r>
          </w:p>
        </w:tc>
      </w:tr>
    </w:tbl>
    <w:p/>
    <w:p>
      <w:r>
        <w:rPr>
          <w:b/>
          <w:color w:val="00695C"/>
          <w:sz w:val="27"/>
        </w:rPr>
        <w:t>5. Mandatory Controls</w:t>
      </w:r>
    </w:p>
    <w:p>
      <w:r>
        <w:rPr>
          <w:b/>
          <w:sz w:val="22"/>
        </w:rPr>
        <w:t>5.1 Hand hygiene</w:t>
      </w:r>
    </w:p>
    <w:p>
      <w:pPr>
        <w:spacing w:after="120"/>
      </w:pPr>
      <w:r>
        <w:t>Hand hygiene is performed at the five moments defined by the World Health Organization: before touching a patient, before a clean or aseptic procedure, after body fluid exposure risk, after touching a patient, and after touching patient surroundings.</w:t>
      </w:r>
    </w:p>
    <w:p>
      <w:pPr>
        <w:pStyle w:val="ListBullet"/>
      </w:pPr>
      <w:r>
        <w:t>Alcohol-based hand rub is the preferred method unless hands are visibly soiled or the patient has suspected or confirmed Clostridioides difficile infection, in which case soap and water must be used.</w:t>
      </w:r>
    </w:p>
    <w:p>
      <w:pPr>
        <w:pStyle w:val="ListBullet"/>
      </w:pPr>
      <w:r>
        <w:t>Alcohol-based hand rub dispensers must be available at every bed space, at every ward entrance and exit, and at the entrance to every clinical room.</w:t>
      </w:r>
    </w:p>
    <w:p>
      <w:pPr>
        <w:pStyle w:val="ListBullet"/>
      </w:pPr>
      <w:r>
        <w:t>Staff must be bare below the elbow in all clinical areas. Wrist watches, rings other than a plain band, bracelets, and artificial or gel nails are not permitted.</w:t>
      </w:r>
    </w:p>
    <w:p>
      <w:pPr>
        <w:pStyle w:val="ListBullet"/>
      </w:pPr>
      <w:r>
        <w:t>The minimum acceptable hand hygiene compliance rate is 90 percent, measured by direct observation of at least 200 opportunities per unit per month.</w:t>
      </w:r>
    </w:p>
    <w:p>
      <w:pPr>
        <w:pStyle w:val="ListBullet"/>
      </w:pPr>
      <w:r>
        <w:t>Units falling below 90 percent for two consecutive months must submit a corrective action plan to the Hospital Infection Control Committee within 10 working days.</w:t>
      </w:r>
    </w:p>
    <w:p>
      <w:r>
        <w:rPr>
          <w:b/>
          <w:sz w:val="22"/>
        </w:rPr>
        <w:t>5.2 Personal protective equipment</w:t>
      </w:r>
    </w:p>
    <w:p>
      <w:pPr>
        <w:spacing w:after="120"/>
      </w:pPr>
      <w:r>
        <w:t>Personal protective equipment is selected on the basis of the anticipated exposure, not on the basis of the patient's diagnosis alone.</w:t>
      </w:r>
    </w:p>
    <w:tbl>
      <w:tblPr>
        <w:tblStyle w:val="LightGrid-Accent1"/>
        <w:tblW w:type="auto" w:w="0"/>
        <w:tblLook w:firstColumn="1" w:firstRow="1" w:lastColumn="0" w:lastRow="0" w:noHBand="0" w:noVBand="1" w:val="04A0"/>
      </w:tblPr>
      <w:tblGrid>
        <w:gridCol w:w="4824"/>
        <w:gridCol w:w="4824"/>
      </w:tblGrid>
      <w:tr>
        <w:tc>
          <w:tcPr>
            <w:tcW w:type="dxa" w:w="4608"/>
          </w:tcPr>
          <w:p>
            <w:r>
              <w:rPr>
                <w:b/>
                <w:sz w:val="18"/>
              </w:rPr>
              <w:t>Situation</w:t>
            </w:r>
          </w:p>
        </w:tc>
        <w:tc>
          <w:tcPr>
            <w:tcW w:type="dxa" w:w="4752"/>
          </w:tcPr>
          <w:p>
            <w:r>
              <w:rPr>
                <w:b/>
                <w:sz w:val="18"/>
              </w:rPr>
              <w:t>Minimum PPE required</w:t>
            </w:r>
          </w:p>
        </w:tc>
      </w:tr>
      <w:tr>
        <w:tc>
          <w:tcPr>
            <w:tcW w:type="dxa" w:w="4608"/>
          </w:tcPr>
          <w:p>
            <w:r>
              <w:rPr>
                <w:sz w:val="18"/>
              </w:rPr>
              <w:t>Routine patient contact, no anticipated exposure to body fluids</w:t>
            </w:r>
          </w:p>
        </w:tc>
        <w:tc>
          <w:tcPr>
            <w:tcW w:type="dxa" w:w="4752"/>
          </w:tcPr>
          <w:p>
            <w:r>
              <w:rPr>
                <w:sz w:val="18"/>
              </w:rPr>
              <w:t>Hand hygiene only</w:t>
            </w:r>
          </w:p>
        </w:tc>
      </w:tr>
      <w:tr>
        <w:tc>
          <w:tcPr>
            <w:tcW w:type="dxa" w:w="4608"/>
          </w:tcPr>
          <w:p>
            <w:r>
              <w:rPr>
                <w:sz w:val="18"/>
              </w:rPr>
              <w:t>Anticipated contact with blood or body fluids</w:t>
            </w:r>
          </w:p>
        </w:tc>
        <w:tc>
          <w:tcPr>
            <w:tcW w:type="dxa" w:w="4752"/>
          </w:tcPr>
          <w:p>
            <w:r>
              <w:rPr>
                <w:sz w:val="18"/>
              </w:rPr>
              <w:t>Gloves and disposable apron</w:t>
            </w:r>
          </w:p>
        </w:tc>
      </w:tr>
      <w:tr>
        <w:tc>
          <w:tcPr>
            <w:tcW w:type="dxa" w:w="4608"/>
          </w:tcPr>
          <w:p>
            <w:r>
              <w:rPr>
                <w:sz w:val="18"/>
              </w:rPr>
              <w:t>Anticipated splash to face</w:t>
            </w:r>
          </w:p>
        </w:tc>
        <w:tc>
          <w:tcPr>
            <w:tcW w:type="dxa" w:w="4752"/>
          </w:tcPr>
          <w:p>
            <w:r>
              <w:rPr>
                <w:sz w:val="18"/>
              </w:rPr>
              <w:t>Gloves, fluid-resistant gown, surgical mask, eye protection</w:t>
            </w:r>
          </w:p>
        </w:tc>
      </w:tr>
      <w:tr>
        <w:tc>
          <w:tcPr>
            <w:tcW w:type="dxa" w:w="4608"/>
          </w:tcPr>
          <w:p>
            <w:r>
              <w:rPr>
                <w:sz w:val="18"/>
              </w:rPr>
              <w:t>Contact precautions (MDRO, C. difficile)</w:t>
            </w:r>
          </w:p>
        </w:tc>
        <w:tc>
          <w:tcPr>
            <w:tcW w:type="dxa" w:w="4752"/>
          </w:tcPr>
          <w:p>
            <w:r>
              <w:rPr>
                <w:sz w:val="18"/>
              </w:rPr>
              <w:t>Gloves and long-sleeved gown on room entry</w:t>
            </w:r>
          </w:p>
        </w:tc>
      </w:tr>
      <w:tr>
        <w:tc>
          <w:tcPr>
            <w:tcW w:type="dxa" w:w="4608"/>
          </w:tcPr>
          <w:p>
            <w:r>
              <w:rPr>
                <w:sz w:val="18"/>
              </w:rPr>
              <w:t>Droplet precautions (influenza, pertussis)</w:t>
            </w:r>
          </w:p>
        </w:tc>
        <w:tc>
          <w:tcPr>
            <w:tcW w:type="dxa" w:w="4752"/>
          </w:tcPr>
          <w:p>
            <w:r>
              <w:rPr>
                <w:sz w:val="18"/>
              </w:rPr>
              <w:t>Surgical mask on room entry, plus standard precautions</w:t>
            </w:r>
          </w:p>
        </w:tc>
      </w:tr>
      <w:tr>
        <w:tc>
          <w:tcPr>
            <w:tcW w:type="dxa" w:w="4608"/>
          </w:tcPr>
          <w:p>
            <w:r>
              <w:rPr>
                <w:sz w:val="18"/>
              </w:rPr>
              <w:t>Airborne precautions (tuberculosis, measles, varicella)</w:t>
            </w:r>
          </w:p>
        </w:tc>
        <w:tc>
          <w:tcPr>
            <w:tcW w:type="dxa" w:w="4752"/>
          </w:tcPr>
          <w:p>
            <w:r>
              <w:rPr>
                <w:sz w:val="18"/>
              </w:rPr>
              <w:t>Fit-tested N95 or FFP2 respirator, negative pressure room where available</w:t>
            </w:r>
          </w:p>
        </w:tc>
      </w:tr>
      <w:tr>
        <w:tc>
          <w:tcPr>
            <w:tcW w:type="dxa" w:w="4608"/>
          </w:tcPr>
          <w:p>
            <w:r>
              <w:rPr>
                <w:sz w:val="18"/>
              </w:rPr>
              <w:t>Aerosol-generating procedure on a patient with suspected airborne infection</w:t>
            </w:r>
          </w:p>
        </w:tc>
        <w:tc>
          <w:tcPr>
            <w:tcW w:type="dxa" w:w="4752"/>
          </w:tcPr>
          <w:p>
            <w:r>
              <w:rPr>
                <w:sz w:val="18"/>
              </w:rPr>
              <w:t>Fit-tested respirator, eye protection, fluid-resistant gown, gloves</w:t>
            </w:r>
          </w:p>
        </w:tc>
      </w:tr>
    </w:tbl>
    <w:p/>
    <w:p>
      <w:pPr>
        <w:spacing w:after="120"/>
      </w:pPr>
      <w:r>
        <w:t>Respirator fit testing is mandatory on appointment and every two years thereafter for all staff who may be required to wear a respirator. Records are maintained by Occupational Health.</w:t>
      </w:r>
    </w:p>
    <w:p>
      <w:r>
        <w:rPr>
          <w:b/>
          <w:sz w:val="22"/>
        </w:rPr>
        <w:t>5.3 Isolation and patient placement</w:t>
      </w:r>
    </w:p>
    <w:p>
      <w:pPr>
        <w:pStyle w:val="ListBullet"/>
      </w:pPr>
      <w:r>
        <w:t>A patient with suspected or confirmed transmissible infection must be placed in a single room with en-suite facilities within four hours of the decision to isolate.</w:t>
      </w:r>
    </w:p>
    <w:p>
      <w:pPr>
        <w:pStyle w:val="ListBullet"/>
      </w:pPr>
      <w:r>
        <w:t>Where single rooms are unavailable, cohorting of patients with the same confirmed organism is permitted with the written agreement of the Infection Control Nurse.</w:t>
      </w:r>
    </w:p>
    <w:p>
      <w:pPr>
        <w:pStyle w:val="ListBullet"/>
      </w:pPr>
      <w:r>
        <w:t>Isolation signage must be displayed at the room entrance stating the precaution type, not the patient's diagnosis.</w:t>
      </w:r>
    </w:p>
    <w:p>
      <w:pPr>
        <w:pStyle w:val="ListBullet"/>
      </w:pPr>
      <w:r>
        <w:t>The isolation decision, the rationale, and the planned review date must be documented in the medical record by the attending consultant.</w:t>
      </w:r>
    </w:p>
    <w:p>
      <w:pPr>
        <w:pStyle w:val="ListBullet"/>
      </w:pPr>
      <w:r>
        <w:t>Isolation status is reviewed at least every 48 hours and discontinued only on the authority of the attending consultant in consultation with the Infection Control Nurse.</w:t>
      </w:r>
    </w:p>
    <w:p>
      <w:r>
        <w:rPr>
          <w:b/>
          <w:sz w:val="22"/>
        </w:rPr>
        <w:t>5.4 Aseptic technique and invasive devices</w:t>
      </w:r>
    </w:p>
    <w:p>
      <w:pPr>
        <w:spacing w:after="120"/>
      </w:pPr>
      <w:r>
        <w:t>Invasive devices are the leading modifiable cause of healthcare-associated infection. The following insertion and maintenance bundles are mandatory and must be documented on the device care record for every device, every day.</w:t>
      </w:r>
    </w:p>
    <w:tbl>
      <w:tblPr>
        <w:tblStyle w:val="LightGrid-Accent1"/>
        <w:tblW w:type="auto" w:w="0"/>
        <w:tblLook w:firstColumn="1" w:firstRow="1" w:lastColumn="0" w:lastRow="0" w:noHBand="0" w:noVBand="1" w:val="04A0"/>
      </w:tblPr>
      <w:tblGrid>
        <w:gridCol w:w="3216"/>
        <w:gridCol w:w="3216"/>
        <w:gridCol w:w="3216"/>
      </w:tblGrid>
      <w:tr>
        <w:tc>
          <w:tcPr>
            <w:tcW w:type="dxa" w:w="1872"/>
          </w:tcPr>
          <w:p>
            <w:r>
              <w:rPr>
                <w:b/>
                <w:sz w:val="18"/>
              </w:rPr>
              <w:t>Device</w:t>
            </w:r>
          </w:p>
        </w:tc>
        <w:tc>
          <w:tcPr>
            <w:tcW w:type="dxa" w:w="3888"/>
          </w:tcPr>
          <w:p>
            <w:r>
              <w:rPr>
                <w:b/>
                <w:sz w:val="18"/>
              </w:rPr>
              <w:t>Insertion bundle</w:t>
            </w:r>
          </w:p>
        </w:tc>
        <w:tc>
          <w:tcPr>
            <w:tcW w:type="dxa" w:w="3600"/>
          </w:tcPr>
          <w:p>
            <w:r>
              <w:rPr>
                <w:b/>
                <w:sz w:val="18"/>
              </w:rPr>
              <w:t>Maintenance requirement</w:t>
            </w:r>
          </w:p>
        </w:tc>
      </w:tr>
      <w:tr>
        <w:tc>
          <w:tcPr>
            <w:tcW w:type="dxa" w:w="1872"/>
          </w:tcPr>
          <w:p>
            <w:r>
              <w:rPr>
                <w:sz w:val="18"/>
              </w:rPr>
              <w:t>Central venous catheter</w:t>
            </w:r>
          </w:p>
        </w:tc>
        <w:tc>
          <w:tcPr>
            <w:tcW w:type="dxa" w:w="3888"/>
          </w:tcPr>
          <w:p>
            <w:r>
              <w:rPr>
                <w:sz w:val="18"/>
              </w:rPr>
              <w:t>Hand hygiene, maximal sterile barrier, 2% chlorhexidine in 70% alcohol skin preparation, optimal site selection avoiding femoral where possible, documented insertion checklist</w:t>
            </w:r>
          </w:p>
        </w:tc>
        <w:tc>
          <w:tcPr>
            <w:tcW w:type="dxa" w:w="3600"/>
          </w:tcPr>
          <w:p>
            <w:r>
              <w:rPr>
                <w:sz w:val="18"/>
              </w:rPr>
              <w:t>Daily review of continued need; dressing intact and changed every 7 days or when soiled; hub decontamination for 15 seconds before every access</w:t>
            </w:r>
          </w:p>
        </w:tc>
      </w:tr>
      <w:tr>
        <w:tc>
          <w:tcPr>
            <w:tcW w:type="dxa" w:w="1872"/>
          </w:tcPr>
          <w:p>
            <w:r>
              <w:rPr>
                <w:sz w:val="18"/>
              </w:rPr>
              <w:t>Peripheral venous cannula</w:t>
            </w:r>
          </w:p>
        </w:tc>
        <w:tc>
          <w:tcPr>
            <w:tcW w:type="dxa" w:w="3888"/>
          </w:tcPr>
          <w:p>
            <w:r>
              <w:rPr>
                <w:sz w:val="18"/>
              </w:rPr>
              <w:t>Hand hygiene, aseptic non-touch technique, skin preparation with 2% chlorhexidine</w:t>
            </w:r>
          </w:p>
        </w:tc>
        <w:tc>
          <w:tcPr>
            <w:tcW w:type="dxa" w:w="3600"/>
          </w:tcPr>
          <w:p>
            <w:r>
              <w:rPr>
                <w:sz w:val="18"/>
              </w:rPr>
              <w:t>Visual Infusion Phlebitis score recorded every shift; removal at 72 to 96 hours or sooner if score is 2 or above</w:t>
            </w:r>
          </w:p>
        </w:tc>
      </w:tr>
      <w:tr>
        <w:tc>
          <w:tcPr>
            <w:tcW w:type="dxa" w:w="1872"/>
          </w:tcPr>
          <w:p>
            <w:r>
              <w:rPr>
                <w:sz w:val="18"/>
              </w:rPr>
              <w:t>Urinary catheter</w:t>
            </w:r>
          </w:p>
        </w:tc>
        <w:tc>
          <w:tcPr>
            <w:tcW w:type="dxa" w:w="3888"/>
          </w:tcPr>
          <w:p>
            <w:r>
              <w:rPr>
                <w:sz w:val="18"/>
              </w:rPr>
              <w:t>Documented clinical indication, aseptic insertion, closed drainage system</w:t>
            </w:r>
          </w:p>
        </w:tc>
        <w:tc>
          <w:tcPr>
            <w:tcW w:type="dxa" w:w="3600"/>
          </w:tcPr>
          <w:p>
            <w:r>
              <w:rPr>
                <w:sz w:val="18"/>
              </w:rPr>
              <w:t>Daily review of continued need; drainage bag kept below bladder level and off the floor; no routine bladder irrigation</w:t>
            </w:r>
          </w:p>
        </w:tc>
      </w:tr>
      <w:tr>
        <w:tc>
          <w:tcPr>
            <w:tcW w:type="dxa" w:w="1872"/>
          </w:tcPr>
          <w:p>
            <w:r>
              <w:rPr>
                <w:sz w:val="18"/>
              </w:rPr>
              <w:t>Ventilator circuit</w:t>
            </w:r>
          </w:p>
        </w:tc>
        <w:tc>
          <w:tcPr>
            <w:tcW w:type="dxa" w:w="3888"/>
          </w:tcPr>
          <w:p>
            <w:r>
              <w:rPr>
                <w:sz w:val="18"/>
              </w:rPr>
              <w:t>Documented intubation checklist, sterile suction technique</w:t>
            </w:r>
          </w:p>
        </w:tc>
        <w:tc>
          <w:tcPr>
            <w:tcW w:type="dxa" w:w="3600"/>
          </w:tcPr>
          <w:p>
            <w:r>
              <w:rPr>
                <w:sz w:val="18"/>
              </w:rPr>
              <w:t>Head of bed elevated 30 to 45 degrees; daily sedation hold and extubation readiness assessment; oral care with chlorhexidine every 6 hours</w:t>
            </w:r>
          </w:p>
        </w:tc>
      </w:tr>
      <w:tr>
        <w:tc>
          <w:tcPr>
            <w:tcW w:type="dxa" w:w="1872"/>
          </w:tcPr>
          <w:p>
            <w:r>
              <w:rPr>
                <w:sz w:val="18"/>
              </w:rPr>
              <w:t>Surgical wound</w:t>
            </w:r>
          </w:p>
        </w:tc>
        <w:tc>
          <w:tcPr>
            <w:tcW w:type="dxa" w:w="3888"/>
          </w:tcPr>
          <w:p>
            <w:r>
              <w:rPr>
                <w:sz w:val="18"/>
              </w:rPr>
              <w:t>Antimicrobial prophylaxis within 60 minutes of incision, appropriate hair removal by clipping only, normothermia and glycaemic control maintained</w:t>
            </w:r>
          </w:p>
        </w:tc>
        <w:tc>
          <w:tcPr>
            <w:tcW w:type="dxa" w:w="3600"/>
          </w:tcPr>
          <w:p>
            <w:r>
              <w:rPr>
                <w:sz w:val="18"/>
              </w:rPr>
              <w:t>Dressing left undisturbed for 48 hours unless leaking; wound assessed and documented at every dressing change</w:t>
            </w:r>
          </w:p>
        </w:tc>
      </w:tr>
    </w:tbl>
    <w:p/>
    <w:p>
      <w:r>
        <w:rPr>
          <w:b/>
          <w:sz w:val="22"/>
        </w:rPr>
        <w:t>5.5 Environmental hygiene and decontamination</w:t>
      </w:r>
    </w:p>
    <w:p>
      <w:pPr>
        <w:pStyle w:val="ListBullet"/>
      </w:pPr>
      <w:r>
        <w:t>Clinical areas are cleaned to the national standard using a chlorine-based agent at 1,000 parts per million for routine cleaning and 10,000 parts per million for blood or body fluid spills.</w:t>
      </w:r>
    </w:p>
    <w:p>
      <w:pPr>
        <w:pStyle w:val="ListBullet"/>
      </w:pPr>
      <w:r>
        <w:t>Terminal cleaning of an isolation room after discharge must be completed and documented before the room is reoccupied. The room is not released to bed management until the cleaning record is signed.</w:t>
      </w:r>
    </w:p>
    <w:p>
      <w:pPr>
        <w:pStyle w:val="ListBullet"/>
      </w:pPr>
      <w:r>
        <w:t>Reusable medical devices are decontaminated in the Sterile Services Department. Point-of-use decontamination in clinical areas is not permitted for any device classified as semi-critical or critical under the Spaulding classification.</w:t>
      </w:r>
    </w:p>
    <w:p>
      <w:pPr>
        <w:pStyle w:val="ListBullet"/>
      </w:pPr>
      <w:r>
        <w:t>Operating theatre air handling systems must maintain a minimum of 20 air changes per hour with positive pressure relative to adjacent areas. HEPA filter integrity is tested every six months.</w:t>
      </w:r>
    </w:p>
    <w:p>
      <w:pPr>
        <w:pStyle w:val="ListBullet"/>
      </w:pPr>
      <w:r>
        <w:t>Water systems are tested for Legionella species quarterly, and after any period during which an outlet has been unused for more than seven days.</w:t>
      </w:r>
    </w:p>
    <w:p>
      <w:r>
        <w:rPr>
          <w:b/>
          <w:sz w:val="22"/>
        </w:rPr>
        <w:t>5.6 Antimicrobial stewardship</w:t>
      </w:r>
    </w:p>
    <w:p>
      <w:pPr>
        <w:pStyle w:val="ListBullet"/>
      </w:pPr>
      <w:r>
        <w:t>All antimicrobial prescriptions must record the indication, the intended duration, and the planned review date at the point of prescribing.</w:t>
      </w:r>
    </w:p>
    <w:p>
      <w:pPr>
        <w:pStyle w:val="ListBullet"/>
      </w:pPr>
      <w:r>
        <w:t>Restricted antimicrobials require approval from the Infectious Diseases physician or the Antimicrobial Stewardship Pharmacist before the first dose is administered, except in confirmed sepsis where a single dose may be given and approval sought within 24 hours.</w:t>
      </w:r>
    </w:p>
    <w:p>
      <w:pPr>
        <w:pStyle w:val="ListBullet"/>
      </w:pPr>
      <w:r>
        <w:t>Intravenous to oral switch must be assessed daily from day two of therapy.</w:t>
      </w:r>
    </w:p>
    <w:p>
      <w:pPr>
        <w:pStyle w:val="ListBullet"/>
      </w:pPr>
      <w:r>
        <w:t>Surgical antimicrobial prophylaxis is a single pre-operative dose. Continuation beyond 24 hours after surgery requires a documented clinical justification.</w:t>
      </w:r>
    </w:p>
    <w:p>
      <w:pPr>
        <w:pStyle w:val="ListBullet"/>
      </w:pPr>
      <w:r>
        <w:t>Blood cultures must be taken before the first antimicrobial dose in all cases of suspected sepsis.</w:t>
      </w:r>
    </w:p>
    <w:p>
      <w:r>
        <w:rPr>
          <w:b/>
          <w:sz w:val="22"/>
        </w:rPr>
        <w:t>5.7 Staff health and immunisation</w:t>
      </w:r>
    </w:p>
    <w:p>
      <w:pPr>
        <w:pStyle w:val="ListBullet"/>
      </w:pPr>
      <w:r>
        <w:t>All clinical staff must have documented immunity to measles, mumps, rubella, varicella and hepatitis B before commencing patient-facing duties.</w:t>
      </w:r>
    </w:p>
    <w:p>
      <w:pPr>
        <w:pStyle w:val="ListBullet"/>
      </w:pPr>
      <w:r>
        <w:t>Annual seasonal influenza vaccination is offered to all staff. The Group target for uptake among patient-facing staff is 85 percent.</w:t>
      </w:r>
    </w:p>
    <w:p>
      <w:pPr>
        <w:pStyle w:val="ListBullet"/>
      </w:pPr>
      <w:r>
        <w:t>Staff with diarrhoea, vomiting, fever, or an undiagnosed rash must not attend clinical duty and must report to Occupational Health before returning.</w:t>
      </w:r>
    </w:p>
    <w:p>
      <w:pPr>
        <w:pStyle w:val="ListBullet"/>
      </w:pPr>
      <w:r>
        <w:t>Sharps injuries and blood or body fluid exposures must be reported immediately, and the source risk assessment and post-exposure prophylaxis decision completed within one hour of exposure.</w:t>
      </w:r>
    </w:p>
    <w:p>
      <w:r>
        <w:rPr>
          <w:b/>
          <w:color w:val="00695C"/>
          <w:sz w:val="27"/>
        </w:rPr>
        <w:t>6. Surveillance and Reporting</w:t>
      </w:r>
    </w:p>
    <w:p>
      <w:pPr>
        <w:spacing w:after="120"/>
      </w:pPr>
      <w:r>
        <w:t>Each hospital maintains continuous surveillance of the following mandatory indicators and reports them to the Group Quality and Patient Safety function by the fifth working day of each month.</w:t>
      </w:r>
    </w:p>
    <w:tbl>
      <w:tblPr>
        <w:tblStyle w:val="LightGrid-Accent1"/>
        <w:tblW w:type="auto" w:w="0"/>
        <w:tblLook w:firstColumn="1" w:firstRow="1" w:lastColumn="0" w:lastRow="0" w:noHBand="0" w:noVBand="1" w:val="04A0"/>
      </w:tblPr>
      <w:tblGrid>
        <w:gridCol w:w="3216"/>
        <w:gridCol w:w="3216"/>
        <w:gridCol w:w="3216"/>
      </w:tblGrid>
      <w:tr>
        <w:tc>
          <w:tcPr>
            <w:tcW w:type="dxa" w:w="3024"/>
          </w:tcPr>
          <w:p>
            <w:r>
              <w:rPr>
                <w:b/>
                <w:sz w:val="18"/>
              </w:rPr>
              <w:t>Indicator</w:t>
            </w:r>
          </w:p>
        </w:tc>
        <w:tc>
          <w:tcPr>
            <w:tcW w:type="dxa" w:w="4320"/>
          </w:tcPr>
          <w:p>
            <w:r>
              <w:rPr>
                <w:b/>
                <w:sz w:val="18"/>
              </w:rPr>
              <w:t>Definition</w:t>
            </w:r>
          </w:p>
        </w:tc>
        <w:tc>
          <w:tcPr>
            <w:tcW w:type="dxa" w:w="2016"/>
          </w:tcPr>
          <w:p>
            <w:r>
              <w:rPr>
                <w:b/>
                <w:sz w:val="18"/>
              </w:rPr>
              <w:t>Group threshold</w:t>
            </w:r>
          </w:p>
        </w:tc>
      </w:tr>
      <w:tr>
        <w:tc>
          <w:tcPr>
            <w:tcW w:type="dxa" w:w="3024"/>
          </w:tcPr>
          <w:p>
            <w:r>
              <w:rPr>
                <w:sz w:val="18"/>
              </w:rPr>
              <w:t>Hand hygiene compliance</w:t>
            </w:r>
          </w:p>
        </w:tc>
        <w:tc>
          <w:tcPr>
            <w:tcW w:type="dxa" w:w="4320"/>
          </w:tcPr>
          <w:p>
            <w:r>
              <w:rPr>
                <w:sz w:val="18"/>
              </w:rPr>
              <w:t>Observed compliant opportunities divided by total observed opportunities</w:t>
            </w:r>
          </w:p>
        </w:tc>
        <w:tc>
          <w:tcPr>
            <w:tcW w:type="dxa" w:w="2016"/>
          </w:tcPr>
          <w:p>
            <w:r>
              <w:rPr>
                <w:sz w:val="18"/>
              </w:rPr>
              <w:t>90% or above</w:t>
            </w:r>
          </w:p>
        </w:tc>
      </w:tr>
      <w:tr>
        <w:tc>
          <w:tcPr>
            <w:tcW w:type="dxa" w:w="3024"/>
          </w:tcPr>
          <w:p>
            <w:r>
              <w:rPr>
                <w:sz w:val="18"/>
              </w:rPr>
              <w:t>Central line-associated bloodstream infection rate</w:t>
            </w:r>
          </w:p>
        </w:tc>
        <w:tc>
          <w:tcPr>
            <w:tcW w:type="dxa" w:w="4320"/>
          </w:tcPr>
          <w:p>
            <w:r>
              <w:rPr>
                <w:sz w:val="18"/>
              </w:rPr>
              <w:t>Infections per 1,000 central line days</w:t>
            </w:r>
          </w:p>
        </w:tc>
        <w:tc>
          <w:tcPr>
            <w:tcW w:type="dxa" w:w="2016"/>
          </w:tcPr>
          <w:p>
            <w:r>
              <w:rPr>
                <w:sz w:val="18"/>
              </w:rPr>
              <w:t>1.0 or below</w:t>
            </w:r>
          </w:p>
        </w:tc>
      </w:tr>
      <w:tr>
        <w:tc>
          <w:tcPr>
            <w:tcW w:type="dxa" w:w="3024"/>
          </w:tcPr>
          <w:p>
            <w:r>
              <w:rPr>
                <w:sz w:val="18"/>
              </w:rPr>
              <w:t>Catheter-associated urinary tract infection rate</w:t>
            </w:r>
          </w:p>
        </w:tc>
        <w:tc>
          <w:tcPr>
            <w:tcW w:type="dxa" w:w="4320"/>
          </w:tcPr>
          <w:p>
            <w:r>
              <w:rPr>
                <w:sz w:val="18"/>
              </w:rPr>
              <w:t>Infections per 1,000 catheter days</w:t>
            </w:r>
          </w:p>
        </w:tc>
        <w:tc>
          <w:tcPr>
            <w:tcW w:type="dxa" w:w="2016"/>
          </w:tcPr>
          <w:p>
            <w:r>
              <w:rPr>
                <w:sz w:val="18"/>
              </w:rPr>
              <w:t>1.5 or below</w:t>
            </w:r>
          </w:p>
        </w:tc>
      </w:tr>
      <w:tr>
        <w:tc>
          <w:tcPr>
            <w:tcW w:type="dxa" w:w="3024"/>
          </w:tcPr>
          <w:p>
            <w:r>
              <w:rPr>
                <w:sz w:val="18"/>
              </w:rPr>
              <w:t>Surgical site infection rate</w:t>
            </w:r>
          </w:p>
        </w:tc>
        <w:tc>
          <w:tcPr>
            <w:tcW w:type="dxa" w:w="4320"/>
          </w:tcPr>
          <w:p>
            <w:r>
              <w:rPr>
                <w:sz w:val="18"/>
              </w:rPr>
              <w:t>Infections per 100 procedures in the surveillance categories</w:t>
            </w:r>
          </w:p>
        </w:tc>
        <w:tc>
          <w:tcPr>
            <w:tcW w:type="dxa" w:w="2016"/>
          </w:tcPr>
          <w:p>
            <w:r>
              <w:rPr>
                <w:sz w:val="18"/>
              </w:rPr>
              <w:t>2.0% or below</w:t>
            </w:r>
          </w:p>
        </w:tc>
      </w:tr>
      <w:tr>
        <w:tc>
          <w:tcPr>
            <w:tcW w:type="dxa" w:w="3024"/>
          </w:tcPr>
          <w:p>
            <w:r>
              <w:rPr>
                <w:sz w:val="18"/>
              </w:rPr>
              <w:t>Ventilator-associated pneumonia rate</w:t>
            </w:r>
          </w:p>
        </w:tc>
        <w:tc>
          <w:tcPr>
            <w:tcW w:type="dxa" w:w="4320"/>
          </w:tcPr>
          <w:p>
            <w:r>
              <w:rPr>
                <w:sz w:val="18"/>
              </w:rPr>
              <w:t>Cases per 1,000 ventilator days</w:t>
            </w:r>
          </w:p>
        </w:tc>
        <w:tc>
          <w:tcPr>
            <w:tcW w:type="dxa" w:w="2016"/>
          </w:tcPr>
          <w:p>
            <w:r>
              <w:rPr>
                <w:sz w:val="18"/>
              </w:rPr>
              <w:t>2.0 or below</w:t>
            </w:r>
          </w:p>
        </w:tc>
      </w:tr>
      <w:tr>
        <w:tc>
          <w:tcPr>
            <w:tcW w:type="dxa" w:w="3024"/>
          </w:tcPr>
          <w:p>
            <w:r>
              <w:rPr>
                <w:sz w:val="18"/>
              </w:rPr>
              <w:t>MDRO acquisition rate</w:t>
            </w:r>
          </w:p>
        </w:tc>
        <w:tc>
          <w:tcPr>
            <w:tcW w:type="dxa" w:w="4320"/>
          </w:tcPr>
          <w:p>
            <w:r>
              <w:rPr>
                <w:sz w:val="18"/>
              </w:rPr>
              <w:t>New MDRO acquisitions per 1,000 patient days</w:t>
            </w:r>
          </w:p>
        </w:tc>
        <w:tc>
          <w:tcPr>
            <w:tcW w:type="dxa" w:w="2016"/>
          </w:tcPr>
          <w:p>
            <w:r>
              <w:rPr>
                <w:sz w:val="18"/>
              </w:rPr>
              <w:t>0.8 or below</w:t>
            </w:r>
          </w:p>
        </w:tc>
      </w:tr>
      <w:tr>
        <w:tc>
          <w:tcPr>
            <w:tcW w:type="dxa" w:w="3024"/>
          </w:tcPr>
          <w:p>
            <w:r>
              <w:rPr>
                <w:sz w:val="18"/>
              </w:rPr>
              <w:t>Antimicrobial consumption</w:t>
            </w:r>
          </w:p>
        </w:tc>
        <w:tc>
          <w:tcPr>
            <w:tcW w:type="dxa" w:w="4320"/>
          </w:tcPr>
          <w:p>
            <w:r>
              <w:rPr>
                <w:sz w:val="18"/>
              </w:rPr>
              <w:t>Defined daily doses per 100 bed days</w:t>
            </w:r>
          </w:p>
        </w:tc>
        <w:tc>
          <w:tcPr>
            <w:tcW w:type="dxa" w:w="2016"/>
          </w:tcPr>
          <w:p>
            <w:r>
              <w:rPr>
                <w:sz w:val="18"/>
              </w:rPr>
              <w:t>Monitored, no fixed threshold</w:t>
            </w:r>
          </w:p>
        </w:tc>
      </w:tr>
      <w:tr>
        <w:tc>
          <w:tcPr>
            <w:tcW w:type="dxa" w:w="3024"/>
          </w:tcPr>
          <w:p>
            <w:r>
              <w:rPr>
                <w:sz w:val="18"/>
              </w:rPr>
              <w:t>Staff influenza vaccination uptake</w:t>
            </w:r>
          </w:p>
        </w:tc>
        <w:tc>
          <w:tcPr>
            <w:tcW w:type="dxa" w:w="4320"/>
          </w:tcPr>
          <w:p>
            <w:r>
              <w:rPr>
                <w:sz w:val="18"/>
              </w:rPr>
              <w:t>Vaccinated patient-facing staff as a share of all patient-facing staff</w:t>
            </w:r>
          </w:p>
        </w:tc>
        <w:tc>
          <w:tcPr>
            <w:tcW w:type="dxa" w:w="2016"/>
          </w:tcPr>
          <w:p>
            <w:r>
              <w:rPr>
                <w:sz w:val="18"/>
              </w:rPr>
              <w:t>85% or above</w:t>
            </w:r>
          </w:p>
        </w:tc>
      </w:tr>
    </w:tbl>
    <w:p/>
    <w:p>
      <w:r>
        <w:rPr>
          <w:b/>
          <w:color w:val="00695C"/>
          <w:sz w:val="27"/>
        </w:rPr>
        <w:t>7. Escalation and Outbreak Management</w:t>
      </w:r>
    </w:p>
    <w:p>
      <w:pPr>
        <w:spacing w:after="120"/>
      </w:pPr>
      <w:r>
        <w:t>The following escalation applies when a control fails or an outbreak is suspected. Timelines are measured from the point of identification, not from the point at which the report is written.</w:t>
      </w:r>
    </w:p>
    <w:tbl>
      <w:tblPr>
        <w:tblStyle w:val="LightGrid-Accent1"/>
        <w:tblW w:type="auto" w:w="0"/>
        <w:tblLook w:firstColumn="1" w:firstRow="1" w:lastColumn="0" w:lastRow="0" w:noHBand="0" w:noVBand="1" w:val="04A0"/>
      </w:tblPr>
      <w:tblGrid>
        <w:gridCol w:w="3216"/>
        <w:gridCol w:w="3216"/>
        <w:gridCol w:w="3216"/>
      </w:tblGrid>
      <w:tr>
        <w:tc>
          <w:tcPr>
            <w:tcW w:type="dxa" w:w="3600"/>
          </w:tcPr>
          <w:p>
            <w:r>
              <w:rPr>
                <w:b/>
                <w:sz w:val="18"/>
              </w:rPr>
              <w:t>Trigger</w:t>
            </w:r>
          </w:p>
        </w:tc>
        <w:tc>
          <w:tcPr>
            <w:tcW w:type="dxa" w:w="4032"/>
          </w:tcPr>
          <w:p>
            <w:r>
              <w:rPr>
                <w:b/>
                <w:sz w:val="18"/>
              </w:rPr>
              <w:t>Escalate to</w:t>
            </w:r>
          </w:p>
        </w:tc>
        <w:tc>
          <w:tcPr>
            <w:tcW w:type="dxa" w:w="1728"/>
          </w:tcPr>
          <w:p>
            <w:r>
              <w:rPr>
                <w:b/>
                <w:sz w:val="18"/>
              </w:rPr>
              <w:t>Timeline</w:t>
            </w:r>
          </w:p>
        </w:tc>
      </w:tr>
      <w:tr>
        <w:tc>
          <w:tcPr>
            <w:tcW w:type="dxa" w:w="3600"/>
          </w:tcPr>
          <w:p>
            <w:r>
              <w:rPr>
                <w:sz w:val="18"/>
              </w:rPr>
              <w:t>Single breach of standard precautions observed</w:t>
            </w:r>
          </w:p>
        </w:tc>
        <w:tc>
          <w:tcPr>
            <w:tcW w:type="dxa" w:w="4032"/>
          </w:tcPr>
          <w:p>
            <w:r>
              <w:rPr>
                <w:sz w:val="18"/>
              </w:rPr>
              <w:t>Ward Manager</w:t>
            </w:r>
          </w:p>
        </w:tc>
        <w:tc>
          <w:tcPr>
            <w:tcW w:type="dxa" w:w="1728"/>
          </w:tcPr>
          <w:p>
            <w:r>
              <w:rPr>
                <w:sz w:val="18"/>
              </w:rPr>
              <w:t>Immediately, same shift</w:t>
            </w:r>
          </w:p>
        </w:tc>
      </w:tr>
      <w:tr>
        <w:tc>
          <w:tcPr>
            <w:tcW w:type="dxa" w:w="3600"/>
          </w:tcPr>
          <w:p>
            <w:r>
              <w:rPr>
                <w:sz w:val="18"/>
              </w:rPr>
              <w:t>Unit hand hygiene compliance below 90% for one month</w:t>
            </w:r>
          </w:p>
        </w:tc>
        <w:tc>
          <w:tcPr>
            <w:tcW w:type="dxa" w:w="4032"/>
          </w:tcPr>
          <w:p>
            <w:r>
              <w:rPr>
                <w:sz w:val="18"/>
              </w:rPr>
              <w:t>Infection Control Nurse</w:t>
            </w:r>
          </w:p>
        </w:tc>
        <w:tc>
          <w:tcPr>
            <w:tcW w:type="dxa" w:w="1728"/>
          </w:tcPr>
          <w:p>
            <w:r>
              <w:rPr>
                <w:sz w:val="18"/>
              </w:rPr>
              <w:t>Within 5 working days</w:t>
            </w:r>
          </w:p>
        </w:tc>
      </w:tr>
      <w:tr>
        <w:tc>
          <w:tcPr>
            <w:tcW w:type="dxa" w:w="3600"/>
          </w:tcPr>
          <w:p>
            <w:r>
              <w:rPr>
                <w:sz w:val="18"/>
              </w:rPr>
              <w:t>Unit hand hygiene compliance below 90% for two consecutive months</w:t>
            </w:r>
          </w:p>
        </w:tc>
        <w:tc>
          <w:tcPr>
            <w:tcW w:type="dxa" w:w="4032"/>
          </w:tcPr>
          <w:p>
            <w:r>
              <w:rPr>
                <w:sz w:val="18"/>
              </w:rPr>
              <w:t>Hospital Infection Control Committee, with written corrective action plan</w:t>
            </w:r>
          </w:p>
        </w:tc>
        <w:tc>
          <w:tcPr>
            <w:tcW w:type="dxa" w:w="1728"/>
          </w:tcPr>
          <w:p>
            <w:r>
              <w:rPr>
                <w:sz w:val="18"/>
              </w:rPr>
              <w:t>Within 10 working days</w:t>
            </w:r>
          </w:p>
        </w:tc>
      </w:tr>
      <w:tr>
        <w:tc>
          <w:tcPr>
            <w:tcW w:type="dxa" w:w="3600"/>
          </w:tcPr>
          <w:p>
            <w:r>
              <w:rPr>
                <w:sz w:val="18"/>
              </w:rPr>
              <w:t>Single MDRO acquisition on a unit</w:t>
            </w:r>
          </w:p>
        </w:tc>
        <w:tc>
          <w:tcPr>
            <w:tcW w:type="dxa" w:w="4032"/>
          </w:tcPr>
          <w:p>
            <w:r>
              <w:rPr>
                <w:sz w:val="18"/>
              </w:rPr>
              <w:t>Infection Control Nurse and Ward Manager</w:t>
            </w:r>
          </w:p>
        </w:tc>
        <w:tc>
          <w:tcPr>
            <w:tcW w:type="dxa" w:w="1728"/>
          </w:tcPr>
          <w:p>
            <w:r>
              <w:rPr>
                <w:sz w:val="18"/>
              </w:rPr>
              <w:t>Within 24 hours</w:t>
            </w:r>
          </w:p>
        </w:tc>
      </w:tr>
      <w:tr>
        <w:tc>
          <w:tcPr>
            <w:tcW w:type="dxa" w:w="3600"/>
          </w:tcPr>
          <w:p>
            <w:r>
              <w:rPr>
                <w:sz w:val="18"/>
              </w:rPr>
              <w:t>Two or more epidemiologically linked cases (suspected outbreak)</w:t>
            </w:r>
          </w:p>
        </w:tc>
        <w:tc>
          <w:tcPr>
            <w:tcW w:type="dxa" w:w="4032"/>
          </w:tcPr>
          <w:p>
            <w:r>
              <w:rPr>
                <w:sz w:val="18"/>
              </w:rPr>
              <w:t>Infection Control Nurse, Hospital CEO and Group Quality and Patient Safety</w:t>
            </w:r>
          </w:p>
        </w:tc>
        <w:tc>
          <w:tcPr>
            <w:tcW w:type="dxa" w:w="1728"/>
          </w:tcPr>
          <w:p>
            <w:r>
              <w:rPr>
                <w:sz w:val="18"/>
              </w:rPr>
              <w:t>Within 4 hours</w:t>
            </w:r>
          </w:p>
        </w:tc>
      </w:tr>
      <w:tr>
        <w:tc>
          <w:tcPr>
            <w:tcW w:type="dxa" w:w="3600"/>
          </w:tcPr>
          <w:p>
            <w:r>
              <w:rPr>
                <w:sz w:val="18"/>
              </w:rPr>
              <w:t>Confirmed outbreak</w:t>
            </w:r>
          </w:p>
        </w:tc>
        <w:tc>
          <w:tcPr>
            <w:tcW w:type="dxa" w:w="4032"/>
          </w:tcPr>
          <w:p>
            <w:r>
              <w:rPr>
                <w:sz w:val="18"/>
              </w:rPr>
              <w:t>Outbreak Control Team convened; national health authority notified</w:t>
            </w:r>
          </w:p>
        </w:tc>
        <w:tc>
          <w:tcPr>
            <w:tcW w:type="dxa" w:w="1728"/>
          </w:tcPr>
          <w:p>
            <w:r>
              <w:rPr>
                <w:sz w:val="18"/>
              </w:rPr>
              <w:t>Within 24 hours of confirmation</w:t>
            </w:r>
          </w:p>
        </w:tc>
      </w:tr>
      <w:tr>
        <w:tc>
          <w:tcPr>
            <w:tcW w:type="dxa" w:w="3600"/>
          </w:tcPr>
          <w:p>
            <w:r>
              <w:rPr>
                <w:sz w:val="18"/>
              </w:rPr>
              <w:t>Suspected high-consequence infectious disease</w:t>
            </w:r>
          </w:p>
        </w:tc>
        <w:tc>
          <w:tcPr>
            <w:tcW w:type="dxa" w:w="4032"/>
          </w:tcPr>
          <w:p>
            <w:r>
              <w:rPr>
                <w:sz w:val="18"/>
              </w:rPr>
              <w:t>Hospital CEO, Group Chief Medical Officer and national health authority</w:t>
            </w:r>
          </w:p>
        </w:tc>
        <w:tc>
          <w:tcPr>
            <w:tcW w:type="dxa" w:w="1728"/>
          </w:tcPr>
          <w:p>
            <w:r>
              <w:rPr>
                <w:sz w:val="18"/>
              </w:rPr>
              <w:t>Immediately</w:t>
            </w:r>
          </w:p>
        </w:tc>
      </w:tr>
      <w:tr>
        <w:tc>
          <w:tcPr>
            <w:tcW w:type="dxa" w:w="3600"/>
          </w:tcPr>
          <w:p>
            <w:r>
              <w:rPr>
                <w:sz w:val="18"/>
              </w:rPr>
              <w:t>Any infection-related patient death or permanent harm</w:t>
            </w:r>
          </w:p>
        </w:tc>
        <w:tc>
          <w:tcPr>
            <w:tcW w:type="dxa" w:w="4032"/>
          </w:tcPr>
          <w:p>
            <w:r>
              <w:rPr>
                <w:sz w:val="18"/>
              </w:rPr>
              <w:t>Group Chief Medical Officer via the Serious Incident process</w:t>
            </w:r>
          </w:p>
        </w:tc>
        <w:tc>
          <w:tcPr>
            <w:tcW w:type="dxa" w:w="1728"/>
          </w:tcPr>
          <w:p>
            <w:r>
              <w:rPr>
                <w:sz w:val="18"/>
              </w:rPr>
              <w:t>Within 24 hours</w:t>
            </w:r>
          </w:p>
        </w:tc>
      </w:tr>
      <w:tr>
        <w:tc>
          <w:tcPr>
            <w:tcW w:type="dxa" w:w="3600"/>
          </w:tcPr>
          <w:p>
            <w:r>
              <w:rPr>
                <w:sz w:val="18"/>
              </w:rPr>
              <w:t>Sterile services decontamination failure affecting used instruments</w:t>
            </w:r>
          </w:p>
        </w:tc>
        <w:tc>
          <w:tcPr>
            <w:tcW w:type="dxa" w:w="4032"/>
          </w:tcPr>
          <w:p>
            <w:r>
              <w:rPr>
                <w:sz w:val="18"/>
              </w:rPr>
              <w:t>Hospital CEO, theatre suspension considered, Group Chief Medical Officer informed</w:t>
            </w:r>
          </w:p>
        </w:tc>
        <w:tc>
          <w:tcPr>
            <w:tcW w:type="dxa" w:w="1728"/>
          </w:tcPr>
          <w:p>
            <w:r>
              <w:rPr>
                <w:sz w:val="18"/>
              </w:rPr>
              <w:t>Immediately</w:t>
            </w:r>
          </w:p>
        </w:tc>
      </w:tr>
    </w:tbl>
    <w:p/>
    <w:p>
      <w:r>
        <w:rPr>
          <w:b/>
          <w:color w:val="00695C"/>
          <w:sz w:val="27"/>
        </w:rPr>
        <w:t>8. Exceptions and Waivers</w:t>
      </w:r>
    </w:p>
    <w:p>
      <w:pPr>
        <w:spacing w:after="120"/>
      </w:pPr>
      <w:r>
        <w:t>Deviation from any mandatory control in section 5 requires a documented waiver. Waivers are time-limited, must state the compensating control that will be applied in the interim, and must name the individual accountable for closing the gap.</w:t>
      </w:r>
    </w:p>
    <w:tbl>
      <w:tblPr>
        <w:tblStyle w:val="LightGrid-Accent1"/>
        <w:tblW w:type="auto" w:w="0"/>
        <w:tblLook w:firstColumn="1" w:firstRow="1" w:lastColumn="0" w:lastRow="0" w:noHBand="0" w:noVBand="1" w:val="04A0"/>
      </w:tblPr>
      <w:tblGrid>
        <w:gridCol w:w="3216"/>
        <w:gridCol w:w="3216"/>
        <w:gridCol w:w="3216"/>
      </w:tblGrid>
      <w:tr>
        <w:tc>
          <w:tcPr>
            <w:tcW w:type="dxa" w:w="4176"/>
          </w:tcPr>
          <w:p>
            <w:r>
              <w:rPr>
                <w:b/>
                <w:sz w:val="18"/>
              </w:rPr>
              <w:t>Deviation type</w:t>
            </w:r>
          </w:p>
        </w:tc>
        <w:tc>
          <w:tcPr>
            <w:tcW w:type="dxa" w:w="3456"/>
          </w:tcPr>
          <w:p>
            <w:r>
              <w:rPr>
                <w:b/>
                <w:sz w:val="18"/>
              </w:rPr>
              <w:t>Approver</w:t>
            </w:r>
          </w:p>
        </w:tc>
        <w:tc>
          <w:tcPr>
            <w:tcW w:type="dxa" w:w="1728"/>
          </w:tcPr>
          <w:p>
            <w:r>
              <w:rPr>
                <w:b/>
                <w:sz w:val="18"/>
              </w:rPr>
              <w:t>Maximum duration</w:t>
            </w:r>
          </w:p>
        </w:tc>
      </w:tr>
      <w:tr>
        <w:tc>
          <w:tcPr>
            <w:tcW w:type="dxa" w:w="4176"/>
          </w:tcPr>
          <w:p>
            <w:r>
              <w:rPr>
                <w:sz w:val="18"/>
              </w:rPr>
              <w:t>Single-room isolation unavailable, cohorting proposed</w:t>
            </w:r>
          </w:p>
        </w:tc>
        <w:tc>
          <w:tcPr>
            <w:tcW w:type="dxa" w:w="3456"/>
          </w:tcPr>
          <w:p>
            <w:r>
              <w:rPr>
                <w:sz w:val="18"/>
              </w:rPr>
              <w:t>Infection Control Nurse</w:t>
            </w:r>
          </w:p>
        </w:tc>
        <w:tc>
          <w:tcPr>
            <w:tcW w:type="dxa" w:w="1728"/>
          </w:tcPr>
          <w:p>
            <w:r>
              <w:rPr>
                <w:sz w:val="18"/>
              </w:rPr>
              <w:t>72 hours, renewable once</w:t>
            </w:r>
          </w:p>
        </w:tc>
      </w:tr>
      <w:tr>
        <w:tc>
          <w:tcPr>
            <w:tcW w:type="dxa" w:w="4176"/>
          </w:tcPr>
          <w:p>
            <w:r>
              <w:rPr>
                <w:sz w:val="18"/>
              </w:rPr>
              <w:t>Air handling performance below specification in a theatre</w:t>
            </w:r>
          </w:p>
        </w:tc>
        <w:tc>
          <w:tcPr>
            <w:tcW w:type="dxa" w:w="3456"/>
          </w:tcPr>
          <w:p>
            <w:r>
              <w:rPr>
                <w:sz w:val="18"/>
              </w:rPr>
              <w:t>Hospital CEO with Group Chief Medical Officer notified</w:t>
            </w:r>
          </w:p>
        </w:tc>
        <w:tc>
          <w:tcPr>
            <w:tcW w:type="dxa" w:w="1728"/>
          </w:tcPr>
          <w:p>
            <w:r>
              <w:rPr>
                <w:sz w:val="18"/>
              </w:rPr>
              <w:t>14 days</w:t>
            </w:r>
          </w:p>
        </w:tc>
      </w:tr>
      <w:tr>
        <w:tc>
          <w:tcPr>
            <w:tcW w:type="dxa" w:w="4176"/>
          </w:tcPr>
          <w:p>
            <w:r>
              <w:rPr>
                <w:sz w:val="18"/>
              </w:rPr>
              <w:t>Substitution of a specified consumable or disinfectant</w:t>
            </w:r>
          </w:p>
        </w:tc>
        <w:tc>
          <w:tcPr>
            <w:tcW w:type="dxa" w:w="3456"/>
          </w:tcPr>
          <w:p>
            <w:r>
              <w:rPr>
                <w:sz w:val="18"/>
              </w:rPr>
              <w:t>Hospital Infection Control Committee</w:t>
            </w:r>
          </w:p>
        </w:tc>
        <w:tc>
          <w:tcPr>
            <w:tcW w:type="dxa" w:w="1728"/>
          </w:tcPr>
          <w:p>
            <w:r>
              <w:rPr>
                <w:sz w:val="18"/>
              </w:rPr>
              <w:t>One supply cycle</w:t>
            </w:r>
          </w:p>
        </w:tc>
      </w:tr>
      <w:tr>
        <w:tc>
          <w:tcPr>
            <w:tcW w:type="dxa" w:w="4176"/>
          </w:tcPr>
          <w:p>
            <w:r>
              <w:rPr>
                <w:sz w:val="18"/>
              </w:rPr>
              <w:t>Deferral of mandatory staff IPC training beyond the due date</w:t>
            </w:r>
          </w:p>
        </w:tc>
        <w:tc>
          <w:tcPr>
            <w:tcW w:type="dxa" w:w="3456"/>
          </w:tcPr>
          <w:p>
            <w:r>
              <w:rPr>
                <w:sz w:val="18"/>
              </w:rPr>
              <w:t>Hospital CEO</w:t>
            </w:r>
          </w:p>
        </w:tc>
        <w:tc>
          <w:tcPr>
            <w:tcW w:type="dxa" w:w="1728"/>
          </w:tcPr>
          <w:p>
            <w:r>
              <w:rPr>
                <w:sz w:val="18"/>
              </w:rPr>
              <w:t>30 days</w:t>
            </w:r>
          </w:p>
        </w:tc>
      </w:tr>
      <w:tr>
        <w:tc>
          <w:tcPr>
            <w:tcW w:type="dxa" w:w="4176"/>
          </w:tcPr>
          <w:p>
            <w:r>
              <w:rPr>
                <w:sz w:val="18"/>
              </w:rPr>
              <w:t>Any deviation affecting more than one facility</w:t>
            </w:r>
          </w:p>
        </w:tc>
        <w:tc>
          <w:tcPr>
            <w:tcW w:type="dxa" w:w="3456"/>
          </w:tcPr>
          <w:p>
            <w:r>
              <w:rPr>
                <w:sz w:val="18"/>
              </w:rPr>
              <w:t>Group Chief Medical Officer</w:t>
            </w:r>
          </w:p>
        </w:tc>
        <w:tc>
          <w:tcPr>
            <w:tcW w:type="dxa" w:w="1728"/>
          </w:tcPr>
          <w:p>
            <w:r>
              <w:rPr>
                <w:sz w:val="18"/>
              </w:rPr>
              <w:t>Case by case</w:t>
            </w:r>
          </w:p>
        </w:tc>
      </w:tr>
    </w:tbl>
    <w:p/>
    <w:p>
      <w:pPr>
        <w:spacing w:after="120"/>
      </w:pPr>
      <w:r>
        <w:t>Waivers are recorded in the hospital IPC risk register and reviewed at every Hospital Infection Control Committee meeting until closed. No waiver may be granted for hand hygiene, sharps safety, or the reporting of a suspected outbreak.</w:t>
      </w:r>
    </w:p>
    <w:p>
      <w:r>
        <w:rPr>
          <w:b/>
          <w:color w:val="00695C"/>
          <w:sz w:val="27"/>
        </w:rPr>
        <w:t>9. Training and Competency</w:t>
      </w:r>
    </w:p>
    <w:p>
      <w:pPr>
        <w:pStyle w:val="ListBullet"/>
      </w:pPr>
      <w:r>
        <w:t>All staff complete IPC induction training before their first patient contact.</w:t>
      </w:r>
    </w:p>
    <w:p>
      <w:pPr>
        <w:pStyle w:val="ListBullet"/>
      </w:pPr>
      <w:r>
        <w:t>All staff complete mandatory annual IPC refresher training. The Group compliance target is 95 percent.</w:t>
      </w:r>
    </w:p>
    <w:p>
      <w:pPr>
        <w:pStyle w:val="ListBullet"/>
      </w:pPr>
      <w:r>
        <w:t>Staff performing aseptic procedures complete a supervised competency assessment on appointment and every two years thereafter.</w:t>
      </w:r>
    </w:p>
    <w:p>
      <w:pPr>
        <w:pStyle w:val="ListBullet"/>
      </w:pPr>
      <w:r>
        <w:t>Ward Managers and Infection Control Nurses complete an additional outbreak management module every two years.</w:t>
      </w:r>
    </w:p>
    <w:p>
      <w:pPr>
        <w:pStyle w:val="ListBullet"/>
      </w:pPr>
      <w:r>
        <w:t>Training records are held in the Group learning management system and are auditable by the Hospital Infection Control Committee.</w:t>
      </w:r>
    </w:p>
    <w:p>
      <w:r>
        <w:rPr>
          <w:b/>
          <w:color w:val="00695C"/>
          <w:sz w:val="27"/>
        </w:rPr>
        <w:t>10. Audit and Assurance</w:t>
      </w:r>
    </w:p>
    <w:p>
      <w:pPr>
        <w:spacing w:after="120"/>
      </w:pPr>
      <w:r>
        <w:t>Compliance with this policy is assured through a three-tier audit model.</w:t>
      </w:r>
    </w:p>
    <w:tbl>
      <w:tblPr>
        <w:tblStyle w:val="LightGrid-Accent1"/>
        <w:tblW w:type="auto" w:w="0"/>
        <w:tblLook w:firstColumn="1" w:firstRow="1" w:lastColumn="0" w:lastRow="0" w:noHBand="0" w:noVBand="1" w:val="04A0"/>
      </w:tblPr>
      <w:tblGrid>
        <w:gridCol w:w="2412"/>
        <w:gridCol w:w="2412"/>
        <w:gridCol w:w="2412"/>
        <w:gridCol w:w="2412"/>
      </w:tblGrid>
      <w:tr>
        <w:tc>
          <w:tcPr>
            <w:tcW w:type="dxa" w:w="2448"/>
          </w:tcPr>
          <w:p>
            <w:r>
              <w:rPr>
                <w:b/>
                <w:sz w:val="18"/>
              </w:rPr>
              <w:t>Tier</w:t>
            </w:r>
          </w:p>
        </w:tc>
        <w:tc>
          <w:tcPr>
            <w:tcW w:type="dxa" w:w="2736"/>
          </w:tcPr>
          <w:p>
            <w:r>
              <w:rPr>
                <w:b/>
                <w:sz w:val="18"/>
              </w:rPr>
              <w:t>Performed by</w:t>
            </w:r>
          </w:p>
        </w:tc>
        <w:tc>
          <w:tcPr>
            <w:tcW w:type="dxa" w:w="1584"/>
          </w:tcPr>
          <w:p>
            <w:r>
              <w:rPr>
                <w:b/>
                <w:sz w:val="18"/>
              </w:rPr>
              <w:t>Frequency</w:t>
            </w:r>
          </w:p>
        </w:tc>
        <w:tc>
          <w:tcPr>
            <w:tcW w:type="dxa" w:w="2592"/>
          </w:tcPr>
          <w:p>
            <w:r>
              <w:rPr>
                <w:b/>
                <w:sz w:val="18"/>
              </w:rPr>
              <w:t>Reported to</w:t>
            </w:r>
          </w:p>
        </w:tc>
      </w:tr>
      <w:tr>
        <w:tc>
          <w:tcPr>
            <w:tcW w:type="dxa" w:w="2448"/>
          </w:tcPr>
          <w:p>
            <w:r>
              <w:rPr>
                <w:sz w:val="18"/>
              </w:rPr>
              <w:t>Tier 1 - unit self-audit</w:t>
            </w:r>
          </w:p>
        </w:tc>
        <w:tc>
          <w:tcPr>
            <w:tcW w:type="dxa" w:w="2736"/>
          </w:tcPr>
          <w:p>
            <w:r>
              <w:rPr>
                <w:sz w:val="18"/>
              </w:rPr>
              <w:t>Ward Manager</w:t>
            </w:r>
          </w:p>
        </w:tc>
        <w:tc>
          <w:tcPr>
            <w:tcW w:type="dxa" w:w="1584"/>
          </w:tcPr>
          <w:p>
            <w:r>
              <w:rPr>
                <w:sz w:val="18"/>
              </w:rPr>
              <w:t>Weekly</w:t>
            </w:r>
          </w:p>
        </w:tc>
        <w:tc>
          <w:tcPr>
            <w:tcW w:type="dxa" w:w="2592"/>
          </w:tcPr>
          <w:p>
            <w:r>
              <w:rPr>
                <w:sz w:val="18"/>
              </w:rPr>
              <w:t>Infection Control Nurse</w:t>
            </w:r>
          </w:p>
        </w:tc>
      </w:tr>
      <w:tr>
        <w:tc>
          <w:tcPr>
            <w:tcW w:type="dxa" w:w="2448"/>
          </w:tcPr>
          <w:p>
            <w:r>
              <w:rPr>
                <w:sz w:val="18"/>
              </w:rPr>
              <w:t>Tier 2 - facility audit</w:t>
            </w:r>
          </w:p>
        </w:tc>
        <w:tc>
          <w:tcPr>
            <w:tcW w:type="dxa" w:w="2736"/>
          </w:tcPr>
          <w:p>
            <w:r>
              <w:rPr>
                <w:sz w:val="18"/>
              </w:rPr>
              <w:t>Infection Control Nurse</w:t>
            </w:r>
          </w:p>
        </w:tc>
        <w:tc>
          <w:tcPr>
            <w:tcW w:type="dxa" w:w="1584"/>
          </w:tcPr>
          <w:p>
            <w:r>
              <w:rPr>
                <w:sz w:val="18"/>
              </w:rPr>
              <w:t>Monthly</w:t>
            </w:r>
          </w:p>
        </w:tc>
        <w:tc>
          <w:tcPr>
            <w:tcW w:type="dxa" w:w="2592"/>
          </w:tcPr>
          <w:p>
            <w:r>
              <w:rPr>
                <w:sz w:val="18"/>
              </w:rPr>
              <w:t>Hospital Infection Control Committee</w:t>
            </w:r>
          </w:p>
        </w:tc>
      </w:tr>
      <w:tr>
        <w:tc>
          <w:tcPr>
            <w:tcW w:type="dxa" w:w="2448"/>
          </w:tcPr>
          <w:p>
            <w:r>
              <w:rPr>
                <w:sz w:val="18"/>
              </w:rPr>
              <w:t>Tier 3 - Group assurance review</w:t>
            </w:r>
          </w:p>
        </w:tc>
        <w:tc>
          <w:tcPr>
            <w:tcW w:type="dxa" w:w="2736"/>
          </w:tcPr>
          <w:p>
            <w:r>
              <w:rPr>
                <w:sz w:val="18"/>
              </w:rPr>
              <w:t>Group Quality and Patient Safety</w:t>
            </w:r>
          </w:p>
        </w:tc>
        <w:tc>
          <w:tcPr>
            <w:tcW w:type="dxa" w:w="1584"/>
          </w:tcPr>
          <w:p>
            <w:r>
              <w:rPr>
                <w:sz w:val="18"/>
              </w:rPr>
              <w:t>Twice yearly</w:t>
            </w:r>
          </w:p>
        </w:tc>
        <w:tc>
          <w:tcPr>
            <w:tcW w:type="dxa" w:w="2592"/>
          </w:tcPr>
          <w:p>
            <w:r>
              <w:rPr>
                <w:sz w:val="18"/>
              </w:rPr>
              <w:t>Group Clinical Governance Committee</w:t>
            </w:r>
          </w:p>
        </w:tc>
      </w:tr>
    </w:tbl>
    <w:p/>
    <w:p>
      <w:r>
        <w:rPr>
          <w:b/>
          <w:color w:val="00695C"/>
          <w:sz w:val="27"/>
        </w:rPr>
        <w:t>11. Related Documents</w:t>
      </w:r>
    </w:p>
    <w:p>
      <w:pPr>
        <w:pStyle w:val="ListBullet"/>
      </w:pPr>
      <w:r>
        <w:t>IHH-CG-QPS-001 Clinical Governance Framework</w:t>
      </w:r>
    </w:p>
    <w:p>
      <w:pPr>
        <w:pStyle w:val="ListBullet"/>
      </w:pPr>
      <w:r>
        <w:t>IHH-CG-IPC-021 Outbreak Management Standard Operating Procedure</w:t>
      </w:r>
    </w:p>
    <w:p>
      <w:pPr>
        <w:pStyle w:val="ListBullet"/>
      </w:pPr>
      <w:r>
        <w:t>IHH-CG-IPC-033 Sterile Services Decontamination Standard</w:t>
      </w:r>
    </w:p>
    <w:p>
      <w:pPr>
        <w:pStyle w:val="ListBullet"/>
      </w:pPr>
      <w:r>
        <w:t>IHH-CG-AMS-007 Antimicrobial Stewardship Policy</w:t>
      </w:r>
    </w:p>
    <w:p>
      <w:pPr>
        <w:pStyle w:val="ListBullet"/>
      </w:pPr>
      <w:r>
        <w:t>IHH-HR-OH-012 Staff Health and Immunisation Policy</w:t>
      </w:r>
    </w:p>
    <w:p>
      <w:pPr>
        <w:pStyle w:val="ListBullet"/>
      </w:pPr>
      <w:r>
        <w:t>IHH-CG-QPS-018 Serious Incident Reporting and Investigation Procedure</w:t>
      </w:r>
    </w:p>
    <w:p>
      <w:pPr>
        <w:pStyle w:val="ListBullet"/>
      </w:pPr>
      <w:r>
        <w:t>IHH-CG-PFC-009 Patient Feedback and Complaints Policy</w:t>
      </w:r>
    </w:p>
    <w:p>
      <w:r>
        <w:rPr>
          <w:b/>
          <w:color w:val="00695C"/>
          <w:sz w:val="27"/>
        </w:rPr>
        <w:t>12. Document Control</w:t>
      </w:r>
    </w:p>
    <w:tbl>
      <w:tblPr>
        <w:tblStyle w:val="LightGrid-Accent1"/>
        <w:tblW w:type="auto" w:w="0"/>
        <w:tblLook w:firstColumn="1" w:firstRow="1" w:lastColumn="0" w:lastRow="0" w:noHBand="0" w:noVBand="1" w:val="04A0"/>
      </w:tblPr>
      <w:tblGrid>
        <w:gridCol w:w="2412"/>
        <w:gridCol w:w="2412"/>
        <w:gridCol w:w="2412"/>
        <w:gridCol w:w="2412"/>
      </w:tblGrid>
      <w:tr>
        <w:tc>
          <w:tcPr>
            <w:tcW w:type="dxa" w:w="1152"/>
          </w:tcPr>
          <w:p>
            <w:r>
              <w:rPr>
                <w:b/>
                <w:sz w:val="18"/>
              </w:rPr>
              <w:t>Version</w:t>
            </w:r>
          </w:p>
        </w:tc>
        <w:tc>
          <w:tcPr>
            <w:tcW w:type="dxa" w:w="1728"/>
          </w:tcPr>
          <w:p>
            <w:r>
              <w:rPr>
                <w:b/>
                <w:sz w:val="18"/>
              </w:rPr>
              <w:t>Date</w:t>
            </w:r>
          </w:p>
        </w:tc>
        <w:tc>
          <w:tcPr>
            <w:tcW w:type="dxa" w:w="3168"/>
          </w:tcPr>
          <w:p>
            <w:r>
              <w:rPr>
                <w:b/>
                <w:sz w:val="18"/>
              </w:rPr>
              <w:t>Author</w:t>
            </w:r>
          </w:p>
        </w:tc>
        <w:tc>
          <w:tcPr>
            <w:tcW w:type="dxa" w:w="3312"/>
          </w:tcPr>
          <w:p>
            <w:r>
              <w:rPr>
                <w:b/>
                <w:sz w:val="18"/>
              </w:rPr>
              <w:t>Summary of change</w:t>
            </w:r>
          </w:p>
        </w:tc>
      </w:tr>
      <w:tr>
        <w:tc>
          <w:tcPr>
            <w:tcW w:type="dxa" w:w="1152"/>
          </w:tcPr>
          <w:p>
            <w:r>
              <w:rPr>
                <w:sz w:val="18"/>
              </w:rPr>
              <w:t>4.0</w:t>
            </w:r>
          </w:p>
        </w:tc>
        <w:tc>
          <w:tcPr>
            <w:tcW w:type="dxa" w:w="1728"/>
          </w:tcPr>
          <w:p>
            <w:r>
              <w:rPr>
                <w:sz w:val="18"/>
              </w:rPr>
              <w:t>1 April 2024</w:t>
            </w:r>
          </w:p>
        </w:tc>
        <w:tc>
          <w:tcPr>
            <w:tcW w:type="dxa" w:w="3168"/>
          </w:tcPr>
          <w:p>
            <w:r>
              <w:rPr>
                <w:sz w:val="18"/>
              </w:rPr>
              <w:t>Group Head of Quality and Patient Safety</w:t>
            </w:r>
          </w:p>
        </w:tc>
        <w:tc>
          <w:tcPr>
            <w:tcW w:type="dxa" w:w="3312"/>
          </w:tcPr>
          <w:p>
            <w:r>
              <w:rPr>
                <w:sz w:val="18"/>
              </w:rPr>
              <w:t>Full policy rewrite</w:t>
            </w:r>
          </w:p>
        </w:tc>
      </w:tr>
      <w:tr>
        <w:tc>
          <w:tcPr>
            <w:tcW w:type="dxa" w:w="1152"/>
          </w:tcPr>
          <w:p>
            <w:r>
              <w:rPr>
                <w:sz w:val="18"/>
              </w:rPr>
              <w:t>5.0</w:t>
            </w:r>
          </w:p>
        </w:tc>
        <w:tc>
          <w:tcPr>
            <w:tcW w:type="dxa" w:w="1728"/>
          </w:tcPr>
          <w:p>
            <w:r>
              <w:rPr>
                <w:sz w:val="18"/>
              </w:rPr>
              <w:t>1 April 2025</w:t>
            </w:r>
          </w:p>
        </w:tc>
        <w:tc>
          <w:tcPr>
            <w:tcW w:type="dxa" w:w="3168"/>
          </w:tcPr>
          <w:p>
            <w:r>
              <w:rPr>
                <w:sz w:val="18"/>
              </w:rPr>
              <w:t>Group Head of Quality and Patient Safety</w:t>
            </w:r>
          </w:p>
        </w:tc>
        <w:tc>
          <w:tcPr>
            <w:tcW w:type="dxa" w:w="3312"/>
          </w:tcPr>
          <w:p>
            <w:r>
              <w:rPr>
                <w:sz w:val="18"/>
              </w:rPr>
              <w:t>Added antimicrobial stewardship section; revised escalation timelines</w:t>
            </w:r>
          </w:p>
        </w:tc>
      </w:tr>
      <w:tr>
        <w:tc>
          <w:tcPr>
            <w:tcW w:type="dxa" w:w="1152"/>
          </w:tcPr>
          <w:p>
            <w:r>
              <w:rPr>
                <w:sz w:val="18"/>
              </w:rPr>
              <w:t>6.0</w:t>
            </w:r>
          </w:p>
        </w:tc>
        <w:tc>
          <w:tcPr>
            <w:tcW w:type="dxa" w:w="1728"/>
          </w:tcPr>
          <w:p>
            <w:r>
              <w:rPr>
                <w:sz w:val="18"/>
              </w:rPr>
              <w:t>1 January 2026</w:t>
            </w:r>
          </w:p>
        </w:tc>
        <w:tc>
          <w:tcPr>
            <w:tcW w:type="dxa" w:w="3168"/>
          </w:tcPr>
          <w:p>
            <w:r>
              <w:rPr>
                <w:sz w:val="18"/>
              </w:rPr>
              <w:t>Group Head of Quality and Patient Safety</w:t>
            </w:r>
          </w:p>
        </w:tc>
        <w:tc>
          <w:tcPr>
            <w:tcW w:type="dxa" w:w="3312"/>
          </w:tcPr>
          <w:p>
            <w:r>
              <w:rPr>
                <w:sz w:val="18"/>
              </w:rPr>
              <w:t>Aligned surveillance indicators to JCI 8th edition; added MDRO acquisition threshold</w:t>
            </w:r>
          </w:p>
        </w:tc>
      </w:tr>
      <w:tr>
        <w:tc>
          <w:tcPr>
            <w:tcW w:type="dxa" w:w="1152"/>
          </w:tcPr>
          <w:p>
            <w:r>
              <w:rPr>
                <w:sz w:val="18"/>
              </w:rPr>
              <w:t>6.1</w:t>
            </w:r>
          </w:p>
        </w:tc>
        <w:tc>
          <w:tcPr>
            <w:tcW w:type="dxa" w:w="1728"/>
          </w:tcPr>
          <w:p>
            <w:r>
              <w:rPr>
                <w:sz w:val="18"/>
              </w:rPr>
              <w:t>1 March 2026</w:t>
            </w:r>
          </w:p>
        </w:tc>
        <w:tc>
          <w:tcPr>
            <w:tcW w:type="dxa" w:w="3168"/>
          </w:tcPr>
          <w:p>
            <w:r>
              <w:rPr>
                <w:sz w:val="18"/>
              </w:rPr>
              <w:t>Group Head of Quality and Patient Safety</w:t>
            </w:r>
          </w:p>
        </w:tc>
        <w:tc>
          <w:tcPr>
            <w:tcW w:type="dxa" w:w="3312"/>
          </w:tcPr>
          <w:p>
            <w:r>
              <w:rPr>
                <w:sz w:val="18"/>
              </w:rPr>
              <w:t>Clarified respirator fit testing frequency</w:t>
            </w:r>
          </w:p>
        </w:tc>
      </w:tr>
      <w:tr>
        <w:tc>
          <w:tcPr>
            <w:tcW w:type="dxa" w:w="1152"/>
          </w:tcPr>
          <w:p>
            <w:r>
              <w:rPr>
                <w:sz w:val="18"/>
              </w:rPr>
              <w:t>6.2</w:t>
            </w:r>
          </w:p>
        </w:tc>
        <w:tc>
          <w:tcPr>
            <w:tcW w:type="dxa" w:w="1728"/>
          </w:tcPr>
          <w:p>
            <w:r>
              <w:rPr>
                <w:sz w:val="18"/>
              </w:rPr>
              <w:t>1 April 2026</w:t>
            </w:r>
          </w:p>
        </w:tc>
        <w:tc>
          <w:tcPr>
            <w:tcW w:type="dxa" w:w="3168"/>
          </w:tcPr>
          <w:p>
            <w:r>
              <w:rPr>
                <w:sz w:val="18"/>
              </w:rPr>
              <w:t>Group Head of Quality and Patient Safety</w:t>
            </w:r>
          </w:p>
        </w:tc>
        <w:tc>
          <w:tcPr>
            <w:tcW w:type="dxa" w:w="3312"/>
          </w:tcPr>
          <w:p>
            <w:r>
              <w:rPr>
                <w:sz w:val="18"/>
              </w:rPr>
              <w:t>Added waiver approval matrix in section 8; raised hand hygiene threshold from 85% to 90%</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