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480"/>
          <w:sz w:val="18"/>
        </w:rPr>
        <w:t>AGREEMENT - SAMPLE FOR TRAINING</w:t>
      </w:r>
    </w:p>
    <w:p>
      <w:r>
        <w:rPr>
          <w:b/>
          <w:color w:val="00695C"/>
          <w:sz w:val="40"/>
        </w:rPr>
        <w:t>Medical Imaging Equipment Service Agreement</w:t>
      </w:r>
    </w:p>
    <w:p>
      <w:r>
        <w:rPr>
          <w:color w:val="5E7480"/>
          <w:sz w:val="22"/>
        </w:rPr>
        <w:t>Between IHH Healthcare Berhad and Meridian Medical Systems (Asia) Pte Ltd</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7"/>
              </w:rPr>
              <w:t>Agreement reference</w:t>
            </w:r>
          </w:p>
        </w:tc>
        <w:tc>
          <w:tcPr>
            <w:tcW w:type="dxa" w:w="2412"/>
          </w:tcPr>
          <w:p>
            <w:r>
              <w:rPr>
                <w:sz w:val="17"/>
              </w:rPr>
              <w:t>MMS-IHH-2026-0417</w:t>
            </w:r>
          </w:p>
        </w:tc>
        <w:tc>
          <w:tcPr>
            <w:tcW w:type="dxa" w:w="2412"/>
          </w:tcPr>
          <w:p>
            <w:r>
              <w:rPr>
                <w:b/>
                <w:sz w:val="17"/>
              </w:rPr>
              <w:t>Version</w:t>
            </w:r>
          </w:p>
        </w:tc>
        <w:tc>
          <w:tcPr>
            <w:tcW w:type="dxa" w:w="2412"/>
          </w:tcPr>
          <w:p>
            <w:r>
              <w:rPr>
                <w:sz w:val="17"/>
              </w:rPr>
              <w:t>Execution copy</w:t>
            </w:r>
          </w:p>
        </w:tc>
      </w:tr>
      <w:tr>
        <w:tc>
          <w:tcPr>
            <w:tcW w:type="dxa" w:w="2412"/>
          </w:tcPr>
          <w:p>
            <w:r>
              <w:rPr>
                <w:b/>
                <w:sz w:val="17"/>
              </w:rPr>
              <w:t>Supplier</w:t>
            </w:r>
          </w:p>
        </w:tc>
        <w:tc>
          <w:tcPr>
            <w:tcW w:type="dxa" w:w="2412"/>
          </w:tcPr>
          <w:p>
            <w:r>
              <w:rPr>
                <w:sz w:val="17"/>
              </w:rPr>
              <w:t>Meridian Medical Systems (Asia) Pte Ltd</w:t>
            </w:r>
          </w:p>
        </w:tc>
        <w:tc>
          <w:tcPr>
            <w:tcW w:type="dxa" w:w="2412"/>
          </w:tcPr>
          <w:p>
            <w:r>
              <w:rPr>
                <w:b/>
                <w:sz w:val="17"/>
              </w:rPr>
              <w:t>Supplier country</w:t>
            </w:r>
          </w:p>
        </w:tc>
        <w:tc>
          <w:tcPr>
            <w:tcW w:type="dxa" w:w="2412"/>
          </w:tcPr>
          <w:p>
            <w:r>
              <w:rPr>
                <w:sz w:val="17"/>
              </w:rPr>
              <w:t>Singapore</w:t>
            </w:r>
          </w:p>
        </w:tc>
      </w:tr>
      <w:tr>
        <w:tc>
          <w:tcPr>
            <w:tcW w:type="dxa" w:w="2412"/>
          </w:tcPr>
          <w:p>
            <w:r>
              <w:rPr>
                <w:b/>
                <w:sz w:val="17"/>
              </w:rPr>
              <w:t>Category</w:t>
            </w:r>
          </w:p>
        </w:tc>
        <w:tc>
          <w:tcPr>
            <w:tcW w:type="dxa" w:w="2412"/>
          </w:tcPr>
          <w:p>
            <w:r>
              <w:rPr>
                <w:sz w:val="17"/>
              </w:rPr>
              <w:t>Medical Equipment - Imaging service and maintenance</w:t>
            </w:r>
          </w:p>
        </w:tc>
        <w:tc>
          <w:tcPr>
            <w:tcW w:type="dxa" w:w="2412"/>
          </w:tcPr>
          <w:p>
            <w:r>
              <w:rPr>
                <w:b/>
                <w:sz w:val="17"/>
              </w:rPr>
              <w:t>Annual value</w:t>
            </w:r>
          </w:p>
        </w:tc>
        <w:tc>
          <w:tcPr>
            <w:tcW w:type="dxa" w:w="2412"/>
          </w:tcPr>
          <w:p>
            <w:r>
              <w:rPr>
                <w:sz w:val="17"/>
              </w:rPr>
              <w:t>MYR 4,280,000</w:t>
            </w:r>
          </w:p>
        </w:tc>
      </w:tr>
      <w:tr>
        <w:tc>
          <w:tcPr>
            <w:tcW w:type="dxa" w:w="2412"/>
          </w:tcPr>
          <w:p>
            <w:r>
              <w:rPr>
                <w:b/>
                <w:sz w:val="17"/>
              </w:rPr>
              <w:t>Classification</w:t>
            </w:r>
          </w:p>
        </w:tc>
        <w:tc>
          <w:tcPr>
            <w:tcW w:type="dxa" w:w="2412"/>
          </w:tcPr>
          <w:p>
            <w:r>
              <w:rPr>
                <w:sz w:val="17"/>
              </w:rPr>
              <w:t>Internal - training sample</w:t>
            </w:r>
          </w:p>
        </w:tc>
        <w:tc>
          <w:tcPr>
            <w:tcW w:type="dxa" w:w="2412"/>
          </w:tcPr>
          <w:p>
            <w:r>
              <w:rPr>
                <w:b/>
                <w:sz w:val="17"/>
              </w:rPr>
              <w:t>Prepared by</w:t>
            </w:r>
          </w:p>
        </w:tc>
        <w:tc>
          <w:tcPr>
            <w:tcW w:type="dxa" w:w="2412"/>
          </w:tcPr>
          <w:p>
            <w:r>
              <w:rPr>
                <w:sz w:val="17"/>
              </w:rPr>
              <w:t>Group Procurement, Contract Services</w:t>
            </w:r>
          </w:p>
        </w:tc>
      </w:tr>
    </w:tbl>
    <w:p/>
    <w:p>
      <w:r>
        <w:rPr>
          <w:b/>
          <w:color w:val="B71C1C"/>
          <w:sz w:val="17"/>
        </w:rPr>
        <w:t>SAMPLE DOCUMENT - FOR MICROSOFT 365 COPILOT TRAINING ONLY. This document is synthetic. It was written for the IHH Copilot hands-on labs on 1 and 17 September 2026 and does not represent any actual IHH Healthcare policy, contract, committee decision or commercial term. Do not rely on it operationally. Meridian Medical Systems (Asia) Pte Ltd is a fictitious company invented for this training.</w:t>
      </w:r>
    </w:p>
    <w:p/>
    <w:p>
      <w:r>
        <w:rPr>
          <w:b/>
          <w:color w:val="00695C"/>
          <w:sz w:val="27"/>
        </w:rPr>
        <w:t>1. Parties and Term</w:t>
      </w:r>
    </w:p>
    <w:p>
      <w:pPr>
        <w:spacing w:after="120"/>
      </w:pPr>
      <w:r>
        <w:t>This Agreement is made between IHH Healthcare Berhad, a company incorporated in Malaysia (the Customer), and Meridian Medical Systems (Asia) Pte Ltd, a company incorporated in Singapore (the Supplier).</w:t>
      </w:r>
    </w:p>
    <w:p>
      <w:r>
        <w:rPr>
          <w:b/>
          <w:sz w:val="22"/>
        </w:rPr>
        <w:t>1.1 Commencement and term</w:t>
      </w:r>
    </w:p>
    <w:p>
      <w:pPr>
        <w:spacing w:after="120"/>
      </w:pPr>
      <w:r>
        <w:t>This Agreement commences on 1 October 2026 and continues for an initial term of five (5) years, expiring on 30 September 2031.</w:t>
      </w:r>
    </w:p>
    <w:p>
      <w:r>
        <w:rPr>
          <w:b/>
          <w:sz w:val="22"/>
        </w:rPr>
        <w:t>1.2 Renewal</w:t>
      </w:r>
    </w:p>
    <w:p>
      <w:pPr>
        <w:spacing w:after="120"/>
      </w:pPr>
      <w:r>
        <w:t>This Agreement shall automatically renew for successive periods of two (2) years unless either party gives written notice of non-renewal not less than one hundred and eighty (180) days before the end of the then-current term.</w:t>
      </w:r>
    </w:p>
    <w:p>
      <w:r>
        <w:rPr>
          <w:b/>
          <w:color w:val="00695C"/>
          <w:sz w:val="27"/>
        </w:rPr>
        <w:t>2. Scope of Services</w:t>
      </w:r>
    </w:p>
    <w:p>
      <w:pPr>
        <w:spacing w:after="120"/>
      </w:pPr>
      <w:r>
        <w:t>The Supplier shall provide preventive maintenance, corrective maintenance, software updates, and remote diagnostic monitoring for the imaging equipment listed in Schedule A across the Customer sites listed in Schedule B.</w:t>
      </w:r>
    </w:p>
    <w:tbl>
      <w:tblPr>
        <w:tblStyle w:val="LightGrid-Accent1"/>
        <w:tblW w:type="auto" w:w="0"/>
        <w:tblLook w:firstColumn="1" w:firstRow="1" w:lastColumn="0" w:lastRow="0" w:noHBand="0" w:noVBand="1" w:val="04A0"/>
      </w:tblPr>
      <w:tblGrid>
        <w:gridCol w:w="3216"/>
        <w:gridCol w:w="3216"/>
        <w:gridCol w:w="3216"/>
      </w:tblGrid>
      <w:tr>
        <w:tc>
          <w:tcPr>
            <w:tcW w:type="dxa" w:w="2592"/>
          </w:tcPr>
          <w:p>
            <w:r>
              <w:rPr>
                <w:b/>
                <w:sz w:val="18"/>
              </w:rPr>
              <w:t>Service element</w:t>
            </w:r>
          </w:p>
        </w:tc>
        <w:tc>
          <w:tcPr>
            <w:tcW w:type="dxa" w:w="4608"/>
          </w:tcPr>
          <w:p>
            <w:r>
              <w:rPr>
                <w:b/>
                <w:sz w:val="18"/>
              </w:rPr>
              <w:t>Description</w:t>
            </w:r>
          </w:p>
        </w:tc>
        <w:tc>
          <w:tcPr>
            <w:tcW w:type="dxa" w:w="2160"/>
          </w:tcPr>
          <w:p>
            <w:r>
              <w:rPr>
                <w:b/>
                <w:sz w:val="18"/>
              </w:rPr>
              <w:t>Coverage</w:t>
            </w:r>
          </w:p>
        </w:tc>
      </w:tr>
      <w:tr>
        <w:tc>
          <w:tcPr>
            <w:tcW w:type="dxa" w:w="2592"/>
          </w:tcPr>
          <w:p>
            <w:r>
              <w:rPr>
                <w:sz w:val="18"/>
              </w:rPr>
              <w:t>Preventive maintenance</w:t>
            </w:r>
          </w:p>
        </w:tc>
        <w:tc>
          <w:tcPr>
            <w:tcW w:type="dxa" w:w="4608"/>
          </w:tcPr>
          <w:p>
            <w:r>
              <w:rPr>
                <w:sz w:val="18"/>
              </w:rPr>
              <w:t>Scheduled servicing to manufacturer specification</w:t>
            </w:r>
          </w:p>
        </w:tc>
        <w:tc>
          <w:tcPr>
            <w:tcW w:type="dxa" w:w="2160"/>
          </w:tcPr>
          <w:p>
            <w:r>
              <w:rPr>
                <w:sz w:val="18"/>
              </w:rPr>
              <w:t>Quarterly per unit</w:t>
            </w:r>
          </w:p>
        </w:tc>
      </w:tr>
      <w:tr>
        <w:tc>
          <w:tcPr>
            <w:tcW w:type="dxa" w:w="2592"/>
          </w:tcPr>
          <w:p>
            <w:r>
              <w:rPr>
                <w:sz w:val="18"/>
              </w:rPr>
              <w:t>Corrective maintenance</w:t>
            </w:r>
          </w:p>
        </w:tc>
        <w:tc>
          <w:tcPr>
            <w:tcW w:type="dxa" w:w="4608"/>
          </w:tcPr>
          <w:p>
            <w:r>
              <w:rPr>
                <w:sz w:val="18"/>
              </w:rPr>
              <w:t>Fault diagnosis and repair including parts and labour</w:t>
            </w:r>
          </w:p>
        </w:tc>
        <w:tc>
          <w:tcPr>
            <w:tcW w:type="dxa" w:w="2160"/>
          </w:tcPr>
          <w:p>
            <w:r>
              <w:rPr>
                <w:sz w:val="18"/>
              </w:rPr>
              <w:t>Unlimited call-outs</w:t>
            </w:r>
          </w:p>
        </w:tc>
      </w:tr>
      <w:tr>
        <w:tc>
          <w:tcPr>
            <w:tcW w:type="dxa" w:w="2592"/>
          </w:tcPr>
          <w:p>
            <w:r>
              <w:rPr>
                <w:sz w:val="18"/>
              </w:rPr>
              <w:t>Remote monitoring</w:t>
            </w:r>
          </w:p>
        </w:tc>
        <w:tc>
          <w:tcPr>
            <w:tcW w:type="dxa" w:w="4608"/>
          </w:tcPr>
          <w:p>
            <w:r>
              <w:rPr>
                <w:sz w:val="18"/>
              </w:rPr>
              <w:t>Continuous telemetry and predictive fault alerting</w:t>
            </w:r>
          </w:p>
        </w:tc>
        <w:tc>
          <w:tcPr>
            <w:tcW w:type="dxa" w:w="2160"/>
          </w:tcPr>
          <w:p>
            <w:r>
              <w:rPr>
                <w:sz w:val="18"/>
              </w:rPr>
              <w:t>24 hours, 7 days</w:t>
            </w:r>
          </w:p>
        </w:tc>
      </w:tr>
      <w:tr>
        <w:tc>
          <w:tcPr>
            <w:tcW w:type="dxa" w:w="2592"/>
          </w:tcPr>
          <w:p>
            <w:r>
              <w:rPr>
                <w:sz w:val="18"/>
              </w:rPr>
              <w:t>Software and firmware updates</w:t>
            </w:r>
          </w:p>
        </w:tc>
        <w:tc>
          <w:tcPr>
            <w:tcW w:type="dxa" w:w="4608"/>
          </w:tcPr>
          <w:p>
            <w:r>
              <w:rPr>
                <w:sz w:val="18"/>
              </w:rPr>
              <w:t>All updates and security patches issued by the manufacturer</w:t>
            </w:r>
          </w:p>
        </w:tc>
        <w:tc>
          <w:tcPr>
            <w:tcW w:type="dxa" w:w="2160"/>
          </w:tcPr>
          <w:p>
            <w:r>
              <w:rPr>
                <w:sz w:val="18"/>
              </w:rPr>
              <w:t>As released</w:t>
            </w:r>
          </w:p>
        </w:tc>
      </w:tr>
      <w:tr>
        <w:tc>
          <w:tcPr>
            <w:tcW w:type="dxa" w:w="2592"/>
          </w:tcPr>
          <w:p>
            <w:r>
              <w:rPr>
                <w:sz w:val="18"/>
              </w:rPr>
              <w:t>Applications support</w:t>
            </w:r>
          </w:p>
        </w:tc>
        <w:tc>
          <w:tcPr>
            <w:tcW w:type="dxa" w:w="4608"/>
          </w:tcPr>
          <w:p>
            <w:r>
              <w:rPr>
                <w:sz w:val="18"/>
              </w:rPr>
              <w:t>Clinical applications training for radiographers</w:t>
            </w:r>
          </w:p>
        </w:tc>
        <w:tc>
          <w:tcPr>
            <w:tcW w:type="dxa" w:w="2160"/>
          </w:tcPr>
          <w:p>
            <w:r>
              <w:rPr>
                <w:sz w:val="18"/>
              </w:rPr>
              <w:t>16 hours per site per year</w:t>
            </w:r>
          </w:p>
        </w:tc>
      </w:tr>
      <w:tr>
        <w:tc>
          <w:tcPr>
            <w:tcW w:type="dxa" w:w="2592"/>
          </w:tcPr>
          <w:p>
            <w:r>
              <w:rPr>
                <w:sz w:val="18"/>
              </w:rPr>
              <w:t>Loan equipment</w:t>
            </w:r>
          </w:p>
        </w:tc>
        <w:tc>
          <w:tcPr>
            <w:tcW w:type="dxa" w:w="4608"/>
          </w:tcPr>
          <w:p>
            <w:r>
              <w:rPr>
                <w:sz w:val="18"/>
              </w:rPr>
              <w:t>Provision of a loan unit where downtime exceeds the service level</w:t>
            </w:r>
          </w:p>
        </w:tc>
        <w:tc>
          <w:tcPr>
            <w:tcW w:type="dxa" w:w="2160"/>
          </w:tcPr>
          <w:p>
            <w:r>
              <w:rPr>
                <w:sz w:val="18"/>
              </w:rPr>
              <w:t>Subject to availability</w:t>
            </w:r>
          </w:p>
        </w:tc>
      </w:tr>
    </w:tbl>
    <w:p/>
    <w:p>
      <w:r>
        <w:rPr>
          <w:b/>
          <w:color w:val="00695C"/>
          <w:sz w:val="27"/>
        </w:rPr>
        <w:t>3. Service Levels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584"/>
          </w:tcPr>
          <w:p>
            <w:r>
              <w:rPr>
                <w:b/>
                <w:sz w:val="18"/>
              </w:rPr>
              <w:t>Priority</w:t>
            </w:r>
          </w:p>
        </w:tc>
        <w:tc>
          <w:tcPr>
            <w:tcW w:type="dxa" w:w="3024"/>
          </w:tcPr>
          <w:p>
            <w:r>
              <w:rPr>
                <w:b/>
                <w:sz w:val="18"/>
              </w:rPr>
              <w:t>Definition</w:t>
            </w:r>
          </w:p>
        </w:tc>
        <w:tc>
          <w:tcPr>
            <w:tcW w:type="dxa" w:w="1584"/>
          </w:tcPr>
          <w:p>
            <w:r>
              <w:rPr>
                <w:b/>
                <w:sz w:val="18"/>
              </w:rPr>
              <w:t>Response time</w:t>
            </w:r>
          </w:p>
        </w:tc>
        <w:tc>
          <w:tcPr>
            <w:tcW w:type="dxa" w:w="1584"/>
          </w:tcPr>
          <w:p>
            <w:r>
              <w:rPr>
                <w:b/>
                <w:sz w:val="18"/>
              </w:rPr>
              <w:t>Resolution target</w:t>
            </w:r>
          </w:p>
        </w:tc>
        <w:tc>
          <w:tcPr>
            <w:tcW w:type="dxa" w:w="1872"/>
          </w:tcPr>
          <w:p>
            <w:r>
              <w:rPr>
                <w:b/>
                <w:sz w:val="18"/>
              </w:rPr>
              <w:t>Service credit</w:t>
            </w:r>
          </w:p>
        </w:tc>
      </w:tr>
      <w:tr>
        <w:tc>
          <w:tcPr>
            <w:tcW w:type="dxa" w:w="1584"/>
          </w:tcPr>
          <w:p>
            <w:r>
              <w:rPr>
                <w:sz w:val="18"/>
              </w:rPr>
              <w:t>P1 - Critical</w:t>
            </w:r>
          </w:p>
        </w:tc>
        <w:tc>
          <w:tcPr>
            <w:tcW w:type="dxa" w:w="3024"/>
          </w:tcPr>
          <w:p>
            <w:r>
              <w:rPr>
                <w:sz w:val="18"/>
              </w:rPr>
              <w:t>Equipment inoperable, no clinical service possible</w:t>
            </w:r>
          </w:p>
        </w:tc>
        <w:tc>
          <w:tcPr>
            <w:tcW w:type="dxa" w:w="1584"/>
          </w:tcPr>
          <w:p>
            <w:r>
              <w:rPr>
                <w:sz w:val="18"/>
              </w:rPr>
              <w:t>2 hours</w:t>
            </w:r>
          </w:p>
        </w:tc>
        <w:tc>
          <w:tcPr>
            <w:tcW w:type="dxa" w:w="1584"/>
          </w:tcPr>
          <w:p>
            <w:r>
              <w:rPr>
                <w:sz w:val="18"/>
              </w:rPr>
              <w:t>8 hours</w:t>
            </w:r>
          </w:p>
        </w:tc>
        <w:tc>
          <w:tcPr>
            <w:tcW w:type="dxa" w:w="1872"/>
          </w:tcPr>
          <w:p>
            <w:r>
              <w:rPr>
                <w:sz w:val="18"/>
              </w:rPr>
              <w:t>2% of monthly fee per breach</w:t>
            </w:r>
          </w:p>
        </w:tc>
      </w:tr>
      <w:tr>
        <w:tc>
          <w:tcPr>
            <w:tcW w:type="dxa" w:w="1584"/>
          </w:tcPr>
          <w:p>
            <w:r>
              <w:rPr>
                <w:sz w:val="18"/>
              </w:rPr>
              <w:t>P2 - Major</w:t>
            </w:r>
          </w:p>
        </w:tc>
        <w:tc>
          <w:tcPr>
            <w:tcW w:type="dxa" w:w="3024"/>
          </w:tcPr>
          <w:p>
            <w:r>
              <w:rPr>
                <w:sz w:val="18"/>
              </w:rPr>
              <w:t>Equipment degraded, reduced clinical throughput</w:t>
            </w:r>
          </w:p>
        </w:tc>
        <w:tc>
          <w:tcPr>
            <w:tcW w:type="dxa" w:w="1584"/>
          </w:tcPr>
          <w:p>
            <w:r>
              <w:rPr>
                <w:sz w:val="18"/>
              </w:rPr>
              <w:t>4 hours</w:t>
            </w:r>
          </w:p>
        </w:tc>
        <w:tc>
          <w:tcPr>
            <w:tcW w:type="dxa" w:w="1584"/>
          </w:tcPr>
          <w:p>
            <w:r>
              <w:rPr>
                <w:sz w:val="18"/>
              </w:rPr>
              <w:t>24 hours</w:t>
            </w:r>
          </w:p>
        </w:tc>
        <w:tc>
          <w:tcPr>
            <w:tcW w:type="dxa" w:w="1872"/>
          </w:tcPr>
          <w:p>
            <w:r>
              <w:rPr>
                <w:sz w:val="18"/>
              </w:rPr>
              <w:t>1% of monthly fee per breach</w:t>
            </w:r>
          </w:p>
        </w:tc>
      </w:tr>
      <w:tr>
        <w:tc>
          <w:tcPr>
            <w:tcW w:type="dxa" w:w="1584"/>
          </w:tcPr>
          <w:p>
            <w:r>
              <w:rPr>
                <w:sz w:val="18"/>
              </w:rPr>
              <w:t>P3 - Minor</w:t>
            </w:r>
          </w:p>
        </w:tc>
        <w:tc>
          <w:tcPr>
            <w:tcW w:type="dxa" w:w="3024"/>
          </w:tcPr>
          <w:p>
            <w:r>
              <w:rPr>
                <w:sz w:val="18"/>
              </w:rPr>
              <w:t>Fault with no clinical impact</w:t>
            </w:r>
          </w:p>
        </w:tc>
        <w:tc>
          <w:tcPr>
            <w:tcW w:type="dxa" w:w="1584"/>
          </w:tcPr>
          <w:p>
            <w:r>
              <w:rPr>
                <w:sz w:val="18"/>
              </w:rPr>
              <w:t>1 working day</w:t>
            </w:r>
          </w:p>
        </w:tc>
        <w:tc>
          <w:tcPr>
            <w:tcW w:type="dxa" w:w="1584"/>
          </w:tcPr>
          <w:p>
            <w:r>
              <w:rPr>
                <w:sz w:val="18"/>
              </w:rPr>
              <w:t>5 working days</w:t>
            </w:r>
          </w:p>
        </w:tc>
        <w:tc>
          <w:tcPr>
            <w:tcW w:type="dxa" w:w="1872"/>
          </w:tcPr>
          <w:p>
            <w:r>
              <w:rPr>
                <w:sz w:val="18"/>
              </w:rPr>
              <w:t>None</w:t>
            </w:r>
          </w:p>
        </w:tc>
      </w:tr>
      <w:tr>
        <w:tc>
          <w:tcPr>
            <w:tcW w:type="dxa" w:w="1584"/>
          </w:tcPr>
          <w:p>
            <w:r>
              <w:rPr>
                <w:sz w:val="18"/>
              </w:rPr>
              <w:t>P4 - Request</w:t>
            </w:r>
          </w:p>
        </w:tc>
        <w:tc>
          <w:tcPr>
            <w:tcW w:type="dxa" w:w="3024"/>
          </w:tcPr>
          <w:p>
            <w:r>
              <w:rPr>
                <w:sz w:val="18"/>
              </w:rPr>
              <w:t>Software update, configuration change, training request</w:t>
            </w:r>
          </w:p>
        </w:tc>
        <w:tc>
          <w:tcPr>
            <w:tcW w:type="dxa" w:w="1584"/>
          </w:tcPr>
          <w:p>
            <w:r>
              <w:rPr>
                <w:sz w:val="18"/>
              </w:rPr>
              <w:t>3 working days</w:t>
            </w:r>
          </w:p>
        </w:tc>
        <w:tc>
          <w:tcPr>
            <w:tcW w:type="dxa" w:w="1584"/>
          </w:tcPr>
          <w:p>
            <w:r>
              <w:rPr>
                <w:sz w:val="18"/>
              </w:rPr>
              <w:t>As agreed</w:t>
            </w:r>
          </w:p>
        </w:tc>
        <w:tc>
          <w:tcPr>
            <w:tcW w:type="dxa" w:w="1872"/>
          </w:tcPr>
          <w:p>
            <w:r>
              <w:rPr>
                <w:sz w:val="18"/>
              </w:rPr>
              <w:t>None</w:t>
            </w:r>
          </w:p>
        </w:tc>
      </w:tr>
    </w:tbl>
    <w:p/>
    <w:p>
      <w:pPr>
        <w:spacing w:after="120"/>
      </w:pPr>
      <w:r>
        <w:t>Aggregate service credits payable in any contract year shall not exceed five per cent (5%) of the annual fee for that year.</w:t>
      </w:r>
    </w:p>
    <w:p>
      <w:r>
        <w:rPr>
          <w:b/>
          <w:color w:val="00695C"/>
          <w:sz w:val="27"/>
        </w:rPr>
        <w:t>4. Charges and Payment</w:t>
      </w:r>
    </w:p>
    <w:p>
      <w:r>
        <w:rPr>
          <w:b/>
          <w:sz w:val="22"/>
        </w:rPr>
        <w:t>4.1 Annual fee</w:t>
      </w:r>
    </w:p>
    <w:p>
      <w:pPr>
        <w:spacing w:after="120"/>
      </w:pPr>
      <w:r>
        <w:t>The annual fee for the first contract year is MYR 4,280,000, payable quarterly in advance.</w:t>
      </w:r>
    </w:p>
    <w:p>
      <w:r>
        <w:rPr>
          <w:b/>
          <w:sz w:val="22"/>
        </w:rPr>
        <w:t>4.2 Annual increase</w:t>
      </w:r>
    </w:p>
    <w:p>
      <w:pPr>
        <w:spacing w:after="120"/>
      </w:pPr>
      <w:r>
        <w:t>The annual fee shall increase by six per cent (6%) on each anniversary of the commencement date for the duration of this Agreement, including any renewal period.</w:t>
      </w:r>
    </w:p>
    <w:p>
      <w:r>
        <w:rPr>
          <w:b/>
          <w:sz w:val="22"/>
        </w:rPr>
        <w:t>4.3 Payment terms</w:t>
      </w:r>
    </w:p>
    <w:p>
      <w:pPr>
        <w:spacing w:after="120"/>
      </w:pPr>
      <w:r>
        <w:t>The Customer shall pay each undisputed invoice within thirty (30) days of the invoice date. Interest at one and a half per cent (1.5%) per month shall accrue on any overdue amount.</w:t>
      </w:r>
    </w:p>
    <w:p>
      <w:r>
        <w:rPr>
          <w:b/>
          <w:sz w:val="22"/>
        </w:rPr>
        <w:t>4.4 Out-of-scope work</w:t>
      </w:r>
    </w:p>
    <w:p>
      <w:pPr>
        <w:spacing w:after="120"/>
      </w:pPr>
      <w:r>
        <w:t>Work outside the scope of Schedule A shall be quoted separately and shall be chargeable at the Supplier's then-current rate card. The Customer shall be deemed to have accepted a quotation if it does not object within five (5) working days.</w:t>
      </w:r>
    </w:p>
    <w:p>
      <w:r>
        <w:rPr>
          <w:b/>
          <w:color w:val="00695C"/>
          <w:sz w:val="27"/>
        </w:rPr>
        <w:t>5. Limitation of Liability</w:t>
      </w:r>
    </w:p>
    <w:p>
      <w:pPr>
        <w:spacing w:after="120"/>
      </w:pPr>
      <w:r>
        <w:t>Save in respect of death or personal injury caused by negligence, the total aggregate liability of the Supplier under or in connection with this Agreement, whether in contract, tort (including negligence), breach of statutory duty or otherwise, shall not exceed fifty per cent (50%) of the annual fee paid by the Customer in the twelve (12) months immediately preceding the event giving rise to the claim.</w:t>
      </w:r>
    </w:p>
    <w:p>
      <w:pPr>
        <w:spacing w:after="120"/>
      </w:pPr>
      <w:r>
        <w:t>Neither party shall be liable for any indirect, consequential, special or punitive loss, or for any loss of profit, revenue, anticipated savings, business, goodwill or data, however arising.</w:t>
      </w:r>
    </w:p>
    <w:p>
      <w:r>
        <w:rPr>
          <w:b/>
          <w:color w:val="00695C"/>
          <w:sz w:val="27"/>
        </w:rPr>
        <w:t>6. Indemnities</w:t>
      </w:r>
    </w:p>
    <w:p>
      <w:pPr>
        <w:spacing w:after="120"/>
      </w:pPr>
      <w:r>
        <w:t>The Supplier shall indemnify the Customer against all claims, damages and reasonable costs arising from:</w:t>
      </w:r>
    </w:p>
    <w:p>
      <w:pPr>
        <w:pStyle w:val="ListBullet"/>
      </w:pPr>
      <w:r>
        <w:t>any claim that the equipment, software or services infringe the intellectual property rights of a third party;</w:t>
      </w:r>
    </w:p>
    <w:p>
      <w:pPr>
        <w:pStyle w:val="ListBullet"/>
      </w:pPr>
      <w:r>
        <w:t>death or personal injury to any person caused by the negligence of the Supplier or its personnel; and</w:t>
      </w:r>
    </w:p>
    <w:p>
      <w:pPr>
        <w:pStyle w:val="ListBullet"/>
      </w:pPr>
      <w:r>
        <w:t>physical damage to the Customer's tangible property caused by the negligence of the Supplier or its personnel.</w:t>
      </w:r>
    </w:p>
    <w:p>
      <w:pPr>
        <w:spacing w:after="120"/>
      </w:pPr>
      <w:r>
        <w:t>For the avoidance of doubt, the Supplier gives no indemnity in respect of any unauthorised access to, loss of, corruption of, or disclosure of data, including personal data, howsoever arising. Liability in respect of data incidents is governed exclusively by clause 5.</w:t>
      </w:r>
    </w:p>
    <w:p>
      <w:r>
        <w:rPr>
          <w:b/>
          <w:color w:val="00695C"/>
          <w:sz w:val="27"/>
        </w:rPr>
        <w:t>7. Data Protection and Hosting</w:t>
      </w:r>
    </w:p>
    <w:p>
      <w:pPr>
        <w:spacing w:after="120"/>
      </w:pPr>
      <w:r>
        <w:t>The Supplier's remote monitoring platform collects equipment telemetry, service logs, and associated study metadata from the Customer's imaging estate.</w:t>
      </w:r>
    </w:p>
    <w:p>
      <w:r>
        <w:rPr>
          <w:b/>
          <w:sz w:val="22"/>
        </w:rPr>
        <w:t>7.1 Hosting location</w:t>
      </w:r>
    </w:p>
    <w:p>
      <w:pPr>
        <w:spacing w:after="120"/>
      </w:pPr>
      <w:r>
        <w:t>The Supplier shall host all telemetry and service data in its regional data centre located in the Republic of the Philippines. The Supplier may transfer such data to its global analytics platform in the United States for the purposes of product improvement and predictive maintenance modelling.</w:t>
      </w:r>
    </w:p>
    <w:p>
      <w:r>
        <w:rPr>
          <w:b/>
          <w:sz w:val="22"/>
        </w:rPr>
        <w:t>7.2 Data processing agreement</w:t>
      </w:r>
    </w:p>
    <w:p>
      <w:pPr>
        <w:spacing w:after="120"/>
      </w:pPr>
      <w:r>
        <w:t>The parties shall enter into a data processing agreement within ninety (90) days of the commencement date. Until such agreement is executed, processing shall be governed by the Supplier's standard privacy notice.</w:t>
      </w:r>
    </w:p>
    <w:p>
      <w:r>
        <w:rPr>
          <w:b/>
          <w:sz w:val="22"/>
        </w:rPr>
        <w:t>7.3 Security incident notification</w:t>
      </w:r>
    </w:p>
    <w:p>
      <w:pPr>
        <w:spacing w:after="120"/>
      </w:pPr>
      <w:r>
        <w:t>The Supplier shall notify the Customer of any confirmed security incident affecting Customer data within seven (7) days of confirmation.</w:t>
      </w:r>
    </w:p>
    <w:p>
      <w:r>
        <w:rPr>
          <w:b/>
          <w:color w:val="00695C"/>
          <w:sz w:val="27"/>
        </w:rPr>
        <w:t>8. Termination</w:t>
      </w:r>
    </w:p>
    <w:p>
      <w:r>
        <w:rPr>
          <w:b/>
          <w:sz w:val="22"/>
        </w:rPr>
        <w:t>8.1 Termination for cause</w:t>
      </w:r>
    </w:p>
    <w:p>
      <w:pPr>
        <w:spacing w:after="120"/>
      </w:pPr>
      <w:r>
        <w:t>Either party may terminate this Agreement with immediate effect by written notice if the other party commits a material breach which is not remedied within thirty (30) days of written notice, or becomes insolvent.</w:t>
      </w:r>
    </w:p>
    <w:p>
      <w:r>
        <w:rPr>
          <w:b/>
          <w:sz w:val="22"/>
        </w:rPr>
        <w:t>8.2 Termination for convenience</w:t>
      </w:r>
    </w:p>
    <w:p>
      <w:pPr>
        <w:spacing w:after="120"/>
      </w:pPr>
      <w:r>
        <w:t>The Customer shall have no right to terminate this Agreement for convenience during the initial term or any renewal period. The Supplier may terminate for convenience on twelve (12) months' written notice.</w:t>
      </w:r>
    </w:p>
    <w:p>
      <w:r>
        <w:rPr>
          <w:b/>
          <w:sz w:val="22"/>
        </w:rPr>
        <w:t>8.3 Consequences of termination</w:t>
      </w:r>
    </w:p>
    <w:p>
      <w:pPr>
        <w:spacing w:after="120"/>
      </w:pPr>
      <w:r>
        <w:t>On termination for any reason other than the Supplier's material breach, the Customer shall pay an early termination charge equal to sixty per cent (60%) of the fees that would have fallen due for the remainder of the then-current term.</w:t>
      </w:r>
    </w:p>
    <w:p>
      <w:r>
        <w:rPr>
          <w:b/>
          <w:color w:val="00695C"/>
          <w:sz w:val="27"/>
        </w:rPr>
        <w:t>9. Exit and Transition</w:t>
      </w:r>
    </w:p>
    <w:p>
      <w:pPr>
        <w:spacing w:after="120"/>
      </w:pPr>
      <w:r>
        <w:t>The Supplier shall provide reasonable transition assistance for a period of up to sixty (60) days following expiry or termination. Transition assistance shall be chargeable at the Supplier's then-current rate card. The Supplier shall return or delete Customer data within ninety (90) days of the end of the transition period.</w:t>
      </w:r>
    </w:p>
    <w:p>
      <w:r>
        <w:rPr>
          <w:b/>
          <w:color w:val="00695C"/>
          <w:sz w:val="27"/>
        </w:rPr>
        <w:t>10. Insurance</w:t>
      </w:r>
    </w:p>
    <w:tbl>
      <w:tblPr>
        <w:tblStyle w:val="LightGrid-Accent1"/>
        <w:tblW w:type="auto" w:w="0"/>
        <w:tblLook w:firstColumn="1" w:firstRow="1" w:lastColumn="0" w:lastRow="0" w:noHBand="0" w:noVBand="1" w:val="04A0"/>
      </w:tblPr>
      <w:tblGrid>
        <w:gridCol w:w="4824"/>
        <w:gridCol w:w="4824"/>
      </w:tblGrid>
      <w:tr>
        <w:tc>
          <w:tcPr>
            <w:tcW w:type="dxa" w:w="4320"/>
          </w:tcPr>
          <w:p>
            <w:r>
              <w:rPr>
                <w:b/>
                <w:sz w:val="18"/>
              </w:rPr>
              <w:t>Cover</w:t>
            </w:r>
          </w:p>
        </w:tc>
        <w:tc>
          <w:tcPr>
            <w:tcW w:type="dxa" w:w="5040"/>
          </w:tcPr>
          <w:p>
            <w:r>
              <w:rPr>
                <w:b/>
                <w:sz w:val="18"/>
              </w:rPr>
              <w:t>Minimum limit</w:t>
            </w:r>
          </w:p>
        </w:tc>
      </w:tr>
      <w:tr>
        <w:tc>
          <w:tcPr>
            <w:tcW w:type="dxa" w:w="4320"/>
          </w:tcPr>
          <w:p>
            <w:r>
              <w:rPr>
                <w:sz w:val="18"/>
              </w:rPr>
              <w:t>Public liability</w:t>
            </w:r>
          </w:p>
        </w:tc>
        <w:tc>
          <w:tcPr>
            <w:tcW w:type="dxa" w:w="5040"/>
          </w:tcPr>
          <w:p>
            <w:r>
              <w:rPr>
                <w:sz w:val="18"/>
              </w:rPr>
              <w:t>SGD 5,000,000 per occurrence</w:t>
            </w:r>
          </w:p>
        </w:tc>
      </w:tr>
      <w:tr>
        <w:tc>
          <w:tcPr>
            <w:tcW w:type="dxa" w:w="4320"/>
          </w:tcPr>
          <w:p>
            <w:r>
              <w:rPr>
                <w:sz w:val="18"/>
              </w:rPr>
              <w:t>Product liability</w:t>
            </w:r>
          </w:p>
        </w:tc>
        <w:tc>
          <w:tcPr>
            <w:tcW w:type="dxa" w:w="5040"/>
          </w:tcPr>
          <w:p>
            <w:r>
              <w:rPr>
                <w:sz w:val="18"/>
              </w:rPr>
              <w:t>SGD 5,000,000 in the aggregate</w:t>
            </w:r>
          </w:p>
        </w:tc>
      </w:tr>
      <w:tr>
        <w:tc>
          <w:tcPr>
            <w:tcW w:type="dxa" w:w="4320"/>
          </w:tcPr>
          <w:p>
            <w:r>
              <w:rPr>
                <w:sz w:val="18"/>
              </w:rPr>
              <w:t>Professional indemnity</w:t>
            </w:r>
          </w:p>
        </w:tc>
        <w:tc>
          <w:tcPr>
            <w:tcW w:type="dxa" w:w="5040"/>
          </w:tcPr>
          <w:p>
            <w:r>
              <w:rPr>
                <w:sz w:val="18"/>
              </w:rPr>
              <w:t>SGD 2,000,000 in the aggregate</w:t>
            </w:r>
          </w:p>
        </w:tc>
      </w:tr>
      <w:tr>
        <w:tc>
          <w:tcPr>
            <w:tcW w:type="dxa" w:w="4320"/>
          </w:tcPr>
          <w:p>
            <w:r>
              <w:rPr>
                <w:sz w:val="18"/>
              </w:rPr>
              <w:t>Cyber liability</w:t>
            </w:r>
          </w:p>
        </w:tc>
        <w:tc>
          <w:tcPr>
            <w:tcW w:type="dxa" w:w="5040"/>
          </w:tcPr>
          <w:p>
            <w:r>
              <w:rPr>
                <w:sz w:val="18"/>
              </w:rPr>
              <w:t>Not carried</w:t>
            </w:r>
          </w:p>
        </w:tc>
      </w:tr>
      <w:tr>
        <w:tc>
          <w:tcPr>
            <w:tcW w:type="dxa" w:w="4320"/>
          </w:tcPr>
          <w:p>
            <w:r>
              <w:rPr>
                <w:sz w:val="18"/>
              </w:rPr>
              <w:t>Workers compensation</w:t>
            </w:r>
          </w:p>
        </w:tc>
        <w:tc>
          <w:tcPr>
            <w:tcW w:type="dxa" w:w="5040"/>
          </w:tcPr>
          <w:p>
            <w:r>
              <w:rPr>
                <w:sz w:val="18"/>
              </w:rPr>
              <w:t>As required by applicable law</w:t>
            </w:r>
          </w:p>
        </w:tc>
      </w:tr>
    </w:tbl>
    <w:p/>
    <w:p>
      <w:r>
        <w:rPr>
          <w:b/>
          <w:color w:val="00695C"/>
          <w:sz w:val="27"/>
        </w:rPr>
        <w:t>11. Subcontracting</w:t>
      </w:r>
    </w:p>
    <w:p>
      <w:pPr>
        <w:spacing w:after="120"/>
      </w:pPr>
      <w:r>
        <w:t>The Supplier may subcontract any part of the services without the prior consent of the Customer, provided that the Supplier remains responsible for the acts and omissions of its subcontractors. The Supplier shall notify the Customer of a material subcontract within thirty (30) days of appointment.</w:t>
      </w:r>
    </w:p>
    <w:p>
      <w:r>
        <w:rPr>
          <w:b/>
          <w:color w:val="00695C"/>
          <w:sz w:val="27"/>
        </w:rPr>
        <w:t>12. Audit</w:t>
      </w:r>
    </w:p>
    <w:p>
      <w:pPr>
        <w:spacing w:after="120"/>
      </w:pPr>
      <w:r>
        <w:t>The Customer may audit the Supplier's compliance with this Agreement once per contract year on not less than sixty (60) days' written notice, during normal business hours, at the Customer's cost. The audit shall not extend to the Supplier's cost records, pricing build-up, or the premises of any subcontractor.</w:t>
      </w:r>
    </w:p>
    <w:p>
      <w:r>
        <w:rPr>
          <w:b/>
          <w:color w:val="00695C"/>
          <w:sz w:val="27"/>
        </w:rPr>
        <w:t>13. Governing Law and Dispute Resolution</w:t>
      </w:r>
    </w:p>
    <w:p>
      <w:pPr>
        <w:spacing w:after="120"/>
      </w:pPr>
      <w:r>
        <w:t>This Agreement is governed by the laws of Singapore. Any dispute shall be referred to and finally resolved by arbitration administered by the Singapore International Arbitration Centre in accordance with its rules in force at the time. The seat of arbitration shall be Singapore and the tribunal shall consist of one arbitrator.</w:t>
      </w:r>
    </w:p>
    <w:p>
      <w:r>
        <w:rPr>
          <w:b/>
          <w:color w:val="00695C"/>
          <w:sz w:val="27"/>
        </w:rPr>
        <w:t>14. Schedules</w:t>
      </w:r>
    </w:p>
    <w:p>
      <w:r>
        <w:rPr>
          <w:b/>
          <w:sz w:val="22"/>
        </w:rPr>
        <w:t>Schedule A - Equipment covered</w:t>
      </w:r>
    </w:p>
    <w:tbl>
      <w:tblPr>
        <w:tblStyle w:val="LightGrid-Accent1"/>
        <w:tblW w:type="auto" w:w="0"/>
        <w:tblLook w:firstColumn="1" w:firstRow="1" w:lastColumn="0" w:lastRow="0" w:noHBand="0" w:noVBand="1" w:val="04A0"/>
      </w:tblPr>
      <w:tblGrid>
        <w:gridCol w:w="2412"/>
        <w:gridCol w:w="2412"/>
        <w:gridCol w:w="2412"/>
        <w:gridCol w:w="2412"/>
      </w:tblGrid>
      <w:tr>
        <w:tc>
          <w:tcPr>
            <w:tcW w:type="dxa" w:w="1872"/>
          </w:tcPr>
          <w:p>
            <w:r>
              <w:rPr>
                <w:b/>
                <w:sz w:val="18"/>
              </w:rPr>
              <w:t>Asset tag</w:t>
            </w:r>
          </w:p>
        </w:tc>
        <w:tc>
          <w:tcPr>
            <w:tcW w:type="dxa" w:w="3168"/>
          </w:tcPr>
          <w:p>
            <w:r>
              <w:rPr>
                <w:b/>
                <w:sz w:val="18"/>
              </w:rPr>
              <w:t>Equipment</w:t>
            </w:r>
          </w:p>
        </w:tc>
        <w:tc>
          <w:tcPr>
            <w:tcW w:type="dxa" w:w="3312"/>
          </w:tcPr>
          <w:p>
            <w:r>
              <w:rPr>
                <w:b/>
                <w:sz w:val="18"/>
              </w:rPr>
              <w:t>Site</w:t>
            </w:r>
          </w:p>
        </w:tc>
        <w:tc>
          <w:tcPr>
            <w:tcW w:type="dxa" w:w="1584"/>
          </w:tcPr>
          <w:p>
            <w:r>
              <w:rPr>
                <w:b/>
                <w:sz w:val="18"/>
              </w:rPr>
              <w:t>Install date</w:t>
            </w:r>
          </w:p>
        </w:tc>
      </w:tr>
      <w:tr>
        <w:tc>
          <w:tcPr>
            <w:tcW w:type="dxa" w:w="1872"/>
          </w:tcPr>
          <w:p>
            <w:r>
              <w:rPr>
                <w:sz w:val="18"/>
              </w:rPr>
              <w:t>IMG-GKL-011</w:t>
            </w:r>
          </w:p>
        </w:tc>
        <w:tc>
          <w:tcPr>
            <w:tcW w:type="dxa" w:w="3168"/>
          </w:tcPr>
          <w:p>
            <w:r>
              <w:rPr>
                <w:sz w:val="18"/>
              </w:rPr>
              <w:t>1.5T MRI scanner</w:t>
            </w:r>
          </w:p>
        </w:tc>
        <w:tc>
          <w:tcPr>
            <w:tcW w:type="dxa" w:w="3312"/>
          </w:tcPr>
          <w:p>
            <w:r>
              <w:rPr>
                <w:sz w:val="18"/>
              </w:rPr>
              <w:t>Gleneagles Kuala Lumpur</w:t>
            </w:r>
          </w:p>
        </w:tc>
        <w:tc>
          <w:tcPr>
            <w:tcW w:type="dxa" w:w="1584"/>
          </w:tcPr>
          <w:p>
            <w:r>
              <w:rPr>
                <w:sz w:val="18"/>
              </w:rPr>
              <w:t>March 2021</w:t>
            </w:r>
          </w:p>
        </w:tc>
      </w:tr>
      <w:tr>
        <w:tc>
          <w:tcPr>
            <w:tcW w:type="dxa" w:w="1872"/>
          </w:tcPr>
          <w:p>
            <w:r>
              <w:rPr>
                <w:sz w:val="18"/>
              </w:rPr>
              <w:t>IMG-GKL-014</w:t>
            </w:r>
          </w:p>
        </w:tc>
        <w:tc>
          <w:tcPr>
            <w:tcW w:type="dxa" w:w="3168"/>
          </w:tcPr>
          <w:p>
            <w:r>
              <w:rPr>
                <w:sz w:val="18"/>
              </w:rPr>
              <w:t>128-slice CT scanner</w:t>
            </w:r>
          </w:p>
        </w:tc>
        <w:tc>
          <w:tcPr>
            <w:tcW w:type="dxa" w:w="3312"/>
          </w:tcPr>
          <w:p>
            <w:r>
              <w:rPr>
                <w:sz w:val="18"/>
              </w:rPr>
              <w:t>Gleneagles Kuala Lumpur</w:t>
            </w:r>
          </w:p>
        </w:tc>
        <w:tc>
          <w:tcPr>
            <w:tcW w:type="dxa" w:w="1584"/>
          </w:tcPr>
          <w:p>
            <w:r>
              <w:rPr>
                <w:sz w:val="18"/>
              </w:rPr>
              <w:t>August 2022</w:t>
            </w:r>
          </w:p>
        </w:tc>
      </w:tr>
      <w:tr>
        <w:tc>
          <w:tcPr>
            <w:tcW w:type="dxa" w:w="1872"/>
          </w:tcPr>
          <w:p>
            <w:r>
              <w:rPr>
                <w:sz w:val="18"/>
              </w:rPr>
              <w:t>IMG-PKL-007</w:t>
            </w:r>
          </w:p>
        </w:tc>
        <w:tc>
          <w:tcPr>
            <w:tcW w:type="dxa" w:w="3168"/>
          </w:tcPr>
          <w:p>
            <w:r>
              <w:rPr>
                <w:sz w:val="18"/>
              </w:rPr>
              <w:t>3T MRI scanner</w:t>
            </w:r>
          </w:p>
        </w:tc>
        <w:tc>
          <w:tcPr>
            <w:tcW w:type="dxa" w:w="3312"/>
          </w:tcPr>
          <w:p>
            <w:r>
              <w:rPr>
                <w:sz w:val="18"/>
              </w:rPr>
              <w:t>Pantai Hospital Kuala Lumpur</w:t>
            </w:r>
          </w:p>
        </w:tc>
        <w:tc>
          <w:tcPr>
            <w:tcW w:type="dxa" w:w="1584"/>
          </w:tcPr>
          <w:p>
            <w:r>
              <w:rPr>
                <w:sz w:val="18"/>
              </w:rPr>
              <w:t>January 2023</w:t>
            </w:r>
          </w:p>
        </w:tc>
      </w:tr>
      <w:tr>
        <w:tc>
          <w:tcPr>
            <w:tcW w:type="dxa" w:w="1872"/>
          </w:tcPr>
          <w:p>
            <w:r>
              <w:rPr>
                <w:sz w:val="18"/>
              </w:rPr>
              <w:t>IMG-PKL-009</w:t>
            </w:r>
          </w:p>
        </w:tc>
        <w:tc>
          <w:tcPr>
            <w:tcW w:type="dxa" w:w="3168"/>
          </w:tcPr>
          <w:p>
            <w:r>
              <w:rPr>
                <w:sz w:val="18"/>
              </w:rPr>
              <w:t>Digital radiography suite</w:t>
            </w:r>
          </w:p>
        </w:tc>
        <w:tc>
          <w:tcPr>
            <w:tcW w:type="dxa" w:w="3312"/>
          </w:tcPr>
          <w:p>
            <w:r>
              <w:rPr>
                <w:sz w:val="18"/>
              </w:rPr>
              <w:t>Pantai Hospital Kuala Lumpur</w:t>
            </w:r>
          </w:p>
        </w:tc>
        <w:tc>
          <w:tcPr>
            <w:tcW w:type="dxa" w:w="1584"/>
          </w:tcPr>
          <w:p>
            <w:r>
              <w:rPr>
                <w:sz w:val="18"/>
              </w:rPr>
              <w:t>June 2021</w:t>
            </w:r>
          </w:p>
        </w:tc>
      </w:tr>
      <w:tr>
        <w:tc>
          <w:tcPr>
            <w:tcW w:type="dxa" w:w="1872"/>
          </w:tcPr>
          <w:p>
            <w:r>
              <w:rPr>
                <w:sz w:val="18"/>
              </w:rPr>
              <w:t>IMG-MEN-021</w:t>
            </w:r>
          </w:p>
        </w:tc>
        <w:tc>
          <w:tcPr>
            <w:tcW w:type="dxa" w:w="3168"/>
          </w:tcPr>
          <w:p>
            <w:r>
              <w:rPr>
                <w:sz w:val="18"/>
              </w:rPr>
              <w:t>3T MRI scanner</w:t>
            </w:r>
          </w:p>
        </w:tc>
        <w:tc>
          <w:tcPr>
            <w:tcW w:type="dxa" w:w="3312"/>
          </w:tcPr>
          <w:p>
            <w:r>
              <w:rPr>
                <w:sz w:val="18"/>
              </w:rPr>
              <w:t>Mount Elizabeth Novena Hospital</w:t>
            </w:r>
          </w:p>
        </w:tc>
        <w:tc>
          <w:tcPr>
            <w:tcW w:type="dxa" w:w="1584"/>
          </w:tcPr>
          <w:p>
            <w:r>
              <w:rPr>
                <w:sz w:val="18"/>
              </w:rPr>
              <w:t>November 2022</w:t>
            </w:r>
          </w:p>
        </w:tc>
      </w:tr>
      <w:tr>
        <w:tc>
          <w:tcPr>
            <w:tcW w:type="dxa" w:w="1872"/>
          </w:tcPr>
          <w:p>
            <w:r>
              <w:rPr>
                <w:sz w:val="18"/>
              </w:rPr>
              <w:t>IMG-MEN-024</w:t>
            </w:r>
          </w:p>
        </w:tc>
        <w:tc>
          <w:tcPr>
            <w:tcW w:type="dxa" w:w="3168"/>
          </w:tcPr>
          <w:p>
            <w:r>
              <w:rPr>
                <w:sz w:val="18"/>
              </w:rPr>
              <w:t>256-slice CT scanner</w:t>
            </w:r>
          </w:p>
        </w:tc>
        <w:tc>
          <w:tcPr>
            <w:tcW w:type="dxa" w:w="3312"/>
          </w:tcPr>
          <w:p>
            <w:r>
              <w:rPr>
                <w:sz w:val="18"/>
              </w:rPr>
              <w:t>Mount Elizabeth Novena Hospital</w:t>
            </w:r>
          </w:p>
        </w:tc>
        <w:tc>
          <w:tcPr>
            <w:tcW w:type="dxa" w:w="1584"/>
          </w:tcPr>
          <w:p>
            <w:r>
              <w:rPr>
                <w:sz w:val="18"/>
              </w:rPr>
              <w:t>February 2024</w:t>
            </w:r>
          </w:p>
        </w:tc>
      </w:tr>
      <w:tr>
        <w:tc>
          <w:tcPr>
            <w:tcW w:type="dxa" w:w="1872"/>
          </w:tcPr>
          <w:p>
            <w:r>
              <w:rPr>
                <w:sz w:val="18"/>
              </w:rPr>
              <w:t>IMG-GPG-005</w:t>
            </w:r>
          </w:p>
        </w:tc>
        <w:tc>
          <w:tcPr>
            <w:tcW w:type="dxa" w:w="3168"/>
          </w:tcPr>
          <w:p>
            <w:r>
              <w:rPr>
                <w:sz w:val="18"/>
              </w:rPr>
              <w:t>1.5T MRI scanner</w:t>
            </w:r>
          </w:p>
        </w:tc>
        <w:tc>
          <w:tcPr>
            <w:tcW w:type="dxa" w:w="3312"/>
          </w:tcPr>
          <w:p>
            <w:r>
              <w:rPr>
                <w:sz w:val="18"/>
              </w:rPr>
              <w:t>Gleneagles Penang</w:t>
            </w:r>
          </w:p>
        </w:tc>
        <w:tc>
          <w:tcPr>
            <w:tcW w:type="dxa" w:w="1584"/>
          </w:tcPr>
          <w:p>
            <w:r>
              <w:rPr>
                <w:sz w:val="18"/>
              </w:rPr>
              <w:t>July 2020</w:t>
            </w:r>
          </w:p>
        </w:tc>
      </w:tr>
      <w:tr>
        <w:tc>
          <w:tcPr>
            <w:tcW w:type="dxa" w:w="1872"/>
          </w:tcPr>
          <w:p>
            <w:r>
              <w:rPr>
                <w:sz w:val="18"/>
              </w:rPr>
              <w:t>IMG-GSG-016</w:t>
            </w:r>
          </w:p>
        </w:tc>
        <w:tc>
          <w:tcPr>
            <w:tcW w:type="dxa" w:w="3168"/>
          </w:tcPr>
          <w:p>
            <w:r>
              <w:rPr>
                <w:sz w:val="18"/>
              </w:rPr>
              <w:t>128-slice CT scanner</w:t>
            </w:r>
          </w:p>
        </w:tc>
        <w:tc>
          <w:tcPr>
            <w:tcW w:type="dxa" w:w="3312"/>
          </w:tcPr>
          <w:p>
            <w:r>
              <w:rPr>
                <w:sz w:val="18"/>
              </w:rPr>
              <w:t>Gleneagles Hospital Singapore</w:t>
            </w:r>
          </w:p>
        </w:tc>
        <w:tc>
          <w:tcPr>
            <w:tcW w:type="dxa" w:w="1584"/>
          </w:tcPr>
          <w:p>
            <w:r>
              <w:rPr>
                <w:sz w:val="18"/>
              </w:rPr>
              <w:t>April 2023</w:t>
            </w:r>
          </w:p>
        </w:tc>
      </w:tr>
    </w:tbl>
    <w:p/>
    <w:p>
      <w:r>
        <w:rPr>
          <w:b/>
          <w:sz w:val="22"/>
        </w:rPr>
        <w:t>Schedule B - Covered sites</w:t>
      </w:r>
    </w:p>
    <w:p>
      <w:pPr>
        <w:spacing w:after="120"/>
      </w:pPr>
      <w:r>
        <w:t>Gleneagles Kuala Lumpur; Pantai Hospital Kuala Lumpur; Gleneagles Penang; Mount Elizabeth Novena Hospital; Gleneagles Hospital Singapore.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