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480"/>
          <w:sz w:val="18"/>
        </w:rPr>
        <w:t>IHH HEALTHCARE BERHAD</w:t>
      </w:r>
    </w:p>
    <w:p>
      <w:r>
        <w:rPr>
          <w:b/>
          <w:color w:val="00695C"/>
          <w:sz w:val="40"/>
        </w:rPr>
        <w:t>Patient Feedback and Complaints Policy</w:t>
      </w:r>
    </w:p>
    <w:p>
      <w:r>
        <w:rPr>
          <w:color w:val="5E7480"/>
          <w:sz w:val="22"/>
        </w:rPr>
        <w:t>Group Patient Experience - Policy and Standard Operating Procedure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7"/>
              </w:rPr>
              <w:t>Document reference</w:t>
            </w:r>
          </w:p>
        </w:tc>
        <w:tc>
          <w:tcPr>
            <w:tcW w:type="dxa" w:w="2412"/>
          </w:tcPr>
          <w:p>
            <w:r>
              <w:rPr>
                <w:sz w:val="17"/>
              </w:rPr>
              <w:t>IHH-CG-PFC-009</w:t>
            </w:r>
          </w:p>
        </w:tc>
        <w:tc>
          <w:tcPr>
            <w:tcW w:type="dxa" w:w="2412"/>
          </w:tcPr>
          <w:p>
            <w:r>
              <w:rPr>
                <w:b/>
                <w:sz w:val="17"/>
              </w:rPr>
              <w:t>Version</w:t>
            </w:r>
          </w:p>
        </w:tc>
        <w:tc>
          <w:tcPr>
            <w:tcW w:type="dxa" w:w="2412"/>
          </w:tcPr>
          <w:p>
            <w:r>
              <w:rPr>
                <w:sz w:val="17"/>
              </w:rPr>
              <w:t>4.1</w:t>
            </w:r>
          </w:p>
        </w:tc>
      </w:tr>
      <w:tr>
        <w:tc>
          <w:tcPr>
            <w:tcW w:type="dxa" w:w="2412"/>
          </w:tcPr>
          <w:p>
            <w:r>
              <w:rPr>
                <w:b/>
                <w:sz w:val="17"/>
              </w:rPr>
              <w:t>Document owner</w:t>
            </w:r>
          </w:p>
        </w:tc>
        <w:tc>
          <w:tcPr>
            <w:tcW w:type="dxa" w:w="2412"/>
          </w:tcPr>
          <w:p>
            <w:r>
              <w:rPr>
                <w:sz w:val="17"/>
              </w:rPr>
              <w:t>Group Head of Patient Experience</w:t>
            </w:r>
          </w:p>
        </w:tc>
        <w:tc>
          <w:tcPr>
            <w:tcW w:type="dxa" w:w="2412"/>
          </w:tcPr>
          <w:p>
            <w:r>
              <w:rPr>
                <w:b/>
                <w:sz w:val="17"/>
              </w:rPr>
              <w:t>Effective date</w:t>
            </w:r>
          </w:p>
        </w:tc>
        <w:tc>
          <w:tcPr>
            <w:tcW w:type="dxa" w:w="2412"/>
          </w:tcPr>
          <w:p>
            <w:r>
              <w:rPr>
                <w:sz w:val="17"/>
              </w:rPr>
              <w:t>1 February 2026</w:t>
            </w:r>
          </w:p>
        </w:tc>
      </w:tr>
      <w:tr>
        <w:tc>
          <w:tcPr>
            <w:tcW w:type="dxa" w:w="2412"/>
          </w:tcPr>
          <w:p>
            <w:r>
              <w:rPr>
                <w:b/>
                <w:sz w:val="17"/>
              </w:rPr>
              <w:t>Applies to</w:t>
            </w:r>
          </w:p>
        </w:tc>
        <w:tc>
          <w:tcPr>
            <w:tcW w:type="dxa" w:w="2412"/>
          </w:tcPr>
          <w:p>
            <w:r>
              <w:rPr>
                <w:sz w:val="17"/>
              </w:rPr>
              <w:t>All IHH Healthcare operating entities</w:t>
            </w:r>
          </w:p>
        </w:tc>
        <w:tc>
          <w:tcPr>
            <w:tcW w:type="dxa" w:w="2412"/>
          </w:tcPr>
          <w:p>
            <w:r>
              <w:rPr>
                <w:b/>
                <w:sz w:val="17"/>
              </w:rPr>
              <w:t>Next review</w:t>
            </w:r>
          </w:p>
        </w:tc>
        <w:tc>
          <w:tcPr>
            <w:tcW w:type="dxa" w:w="2412"/>
          </w:tcPr>
          <w:p>
            <w:r>
              <w:rPr>
                <w:sz w:val="17"/>
              </w:rPr>
              <w:t>31 January 2027</w:t>
            </w:r>
          </w:p>
        </w:tc>
      </w:tr>
      <w:tr>
        <w:tc>
          <w:tcPr>
            <w:tcW w:type="dxa" w:w="2412"/>
          </w:tcPr>
          <w:p>
            <w:r>
              <w:rPr>
                <w:b/>
                <w:sz w:val="17"/>
              </w:rPr>
              <w:t>Classification</w:t>
            </w:r>
          </w:p>
        </w:tc>
        <w:tc>
          <w:tcPr>
            <w:tcW w:type="dxa" w:w="2412"/>
          </w:tcPr>
          <w:p>
            <w:r>
              <w:rPr>
                <w:sz w:val="17"/>
              </w:rPr>
              <w:t>Internal - training sample</w:t>
            </w:r>
          </w:p>
        </w:tc>
        <w:tc>
          <w:tcPr>
            <w:tcW w:type="dxa" w:w="2412"/>
          </w:tcPr>
          <w:p>
            <w:r>
              <w:rPr>
                <w:b/>
                <w:sz w:val="17"/>
              </w:rPr>
              <w:t>Status</w:t>
            </w:r>
          </w:p>
        </w:tc>
        <w:tc>
          <w:tcPr>
            <w:tcW w:type="dxa" w:w="2412"/>
          </w:tcPr>
          <w:p>
            <w:r>
              <w:rPr>
                <w:sz w:val="17"/>
              </w:rPr>
              <w:t>Approved</w:t>
            </w:r>
          </w:p>
        </w:tc>
      </w:tr>
    </w:tbl>
    <w:p/>
    <w:p>
      <w:r>
        <w:rPr>
          <w:b/>
          <w:color w:val="B71C1C"/>
          <w:sz w:val="17"/>
        </w:rPr>
        <w:t xml:space="preserve">SAMPLE DOCUMENT - FOR MICROSOFT 365 COPILOT TRAINING ONLY. This document is synthetic. It was written for the IHH Copilot hands-on labs on 1 and 17 September 2026 and does not represent any actual IHH Healthcare policy, contract, committee decision or commercial term. Do not rely on it operationally. </w:t>
      </w:r>
    </w:p>
    <w:p/>
    <w:p>
      <w:r>
        <w:rPr>
          <w:b/>
          <w:color w:val="00695C"/>
          <w:sz w:val="27"/>
        </w:rPr>
        <w:t>1. Purpose</w:t>
      </w:r>
    </w:p>
    <w:p>
      <w:pPr>
        <w:spacing w:after="120"/>
      </w:pPr>
      <w:r>
        <w:t>This policy defines how IHH Healthcare receives, acknowledges, investigates, resolves and learns from feedback and complaints from patients, families and visitors. It sets mandatory response timelines, defines the severity grading that determines the investigation route, and specifies the escalation path for complaints that indicate potential harm.</w:t>
      </w:r>
    </w:p>
    <w:p>
      <w:r>
        <w:rPr>
          <w:b/>
          <w:color w:val="00695C"/>
          <w:sz w:val="27"/>
        </w:rPr>
        <w:t>2. Scope</w:t>
      </w:r>
    </w:p>
    <w:p>
      <w:pPr>
        <w:spacing w:after="120"/>
      </w:pPr>
      <w:r>
        <w:t>This policy applies to all feedback and complaints received through any channel, including verbal complaints made at the bedside, written correspondence, email, the patient portal, post-discharge survey free text, social media, third-party review sites, complaints referred by an insurer or corporate client, and complaints referred by a regulator or health authority.</w:t>
      </w:r>
    </w:p>
    <w:p>
      <w:pPr>
        <w:spacing w:after="120"/>
      </w:pPr>
      <w:r>
        <w:t>Clinical negligence claims, staff grievances and supplier disputes are out of scope and are handled under IHH-LEG-CLM-003, IHH-HR-ER-006 and IHH-PRO-DIS-011 respectively.</w:t>
      </w:r>
    </w:p>
    <w:p>
      <w:r>
        <w:rPr>
          <w:b/>
          <w:color w:val="00695C"/>
          <w:sz w:val="27"/>
        </w:rPr>
        <w:t>3. Principles</w:t>
      </w:r>
    </w:p>
    <w:p>
      <w:pPr>
        <w:pStyle w:val="ListBullet"/>
      </w:pPr>
      <w:r>
        <w:t>Every complaint is treated as a source of improvement, not as a reputational threat.</w:t>
      </w:r>
    </w:p>
    <w:p>
      <w:pPr>
        <w:pStyle w:val="ListBullet"/>
      </w:pPr>
      <w:r>
        <w:t>No patient is disadvantaged in their care as a result of raising a complaint.</w:t>
      </w:r>
    </w:p>
    <w:p>
      <w:pPr>
        <w:pStyle w:val="ListBullet"/>
      </w:pPr>
      <w:r>
        <w:t>The complainant is told who is handling their complaint and how to contact that person directly.</w:t>
      </w:r>
    </w:p>
    <w:p>
      <w:pPr>
        <w:pStyle w:val="ListBullet"/>
      </w:pPr>
      <w:r>
        <w:t>Complaints are resolved at the lowest appropriate level and as close to the point of care as possible.</w:t>
      </w:r>
    </w:p>
    <w:p>
      <w:pPr>
        <w:pStyle w:val="ListBullet"/>
      </w:pPr>
      <w:r>
        <w:t>Where something has gone wrong, IHH applies the duty of candour: the patient is told promptly, given a factual account, offered an apology, and told what will change as a result.</w:t>
      </w:r>
    </w:p>
    <w:p>
      <w:pPr>
        <w:pStyle w:val="ListBullet"/>
      </w:pPr>
      <w:r>
        <w:t>Themes, not just individual cases, drive corrective action.</w:t>
      </w:r>
    </w:p>
    <w:p>
      <w:r>
        <w:rPr>
          <w:b/>
          <w:color w:val="00695C"/>
          <w:sz w:val="27"/>
        </w:rPr>
        <w:t>4. Severity Grading</w:t>
      </w:r>
    </w:p>
    <w:p>
      <w:pPr>
        <w:spacing w:after="120"/>
      </w:pPr>
      <w:r>
        <w:t>Every complaint is graded on receipt. The grade determines the investigation route, the investigating officer, and the response deadline. If the grade is unclear, the higher grade applies.</w:t>
      </w:r>
    </w:p>
    <w:tbl>
      <w:tblPr>
        <w:tblStyle w:val="LightGrid-Accent1"/>
        <w:tblW w:type="auto" w:w="0"/>
        <w:tblLook w:firstColumn="1" w:firstRow="1" w:lastColumn="0" w:lastRow="0" w:noHBand="0" w:noVBand="1" w:val="04A0"/>
      </w:tblPr>
      <w:tblGrid>
        <w:gridCol w:w="2412"/>
        <w:gridCol w:w="2412"/>
        <w:gridCol w:w="2412"/>
        <w:gridCol w:w="2412"/>
      </w:tblGrid>
      <w:tr>
        <w:tc>
          <w:tcPr>
            <w:tcW w:type="dxa" w:w="1584"/>
          </w:tcPr>
          <w:p>
            <w:r>
              <w:rPr>
                <w:b/>
                <w:sz w:val="18"/>
              </w:rPr>
              <w:t>Grade</w:t>
            </w:r>
          </w:p>
        </w:tc>
        <w:tc>
          <w:tcPr>
            <w:tcW w:type="dxa" w:w="2448"/>
          </w:tcPr>
          <w:p>
            <w:r>
              <w:rPr>
                <w:b/>
                <w:sz w:val="18"/>
              </w:rPr>
              <w:t>Description</w:t>
            </w:r>
          </w:p>
        </w:tc>
        <w:tc>
          <w:tcPr>
            <w:tcW w:type="dxa" w:w="3600"/>
          </w:tcPr>
          <w:p>
            <w:r>
              <w:rPr>
                <w:b/>
                <w:sz w:val="18"/>
              </w:rPr>
              <w:t>Examples</w:t>
            </w:r>
          </w:p>
        </w:tc>
        <w:tc>
          <w:tcPr>
            <w:tcW w:type="dxa" w:w="2160"/>
          </w:tcPr>
          <w:p>
            <w:r>
              <w:rPr>
                <w:b/>
                <w:sz w:val="18"/>
              </w:rPr>
              <w:t>Investigating officer</w:t>
            </w:r>
          </w:p>
        </w:tc>
      </w:tr>
      <w:tr>
        <w:tc>
          <w:tcPr>
            <w:tcW w:type="dxa" w:w="1584"/>
          </w:tcPr>
          <w:p>
            <w:r>
              <w:rPr>
                <w:sz w:val="18"/>
              </w:rPr>
              <w:t>Grade 1 - Minor</w:t>
            </w:r>
          </w:p>
        </w:tc>
        <w:tc>
          <w:tcPr>
            <w:tcW w:type="dxa" w:w="2448"/>
          </w:tcPr>
          <w:p>
            <w:r>
              <w:rPr>
                <w:sz w:val="18"/>
              </w:rPr>
              <w:t>Service inconvenience with no clinical impact</w:t>
            </w:r>
          </w:p>
        </w:tc>
        <w:tc>
          <w:tcPr>
            <w:tcW w:type="dxa" w:w="3600"/>
          </w:tcPr>
          <w:p>
            <w:r>
              <w:rPr>
                <w:sz w:val="18"/>
              </w:rPr>
              <w:t>Waiting time, room temperature, meal quality, parking, billing query under MYR 1,000</w:t>
            </w:r>
          </w:p>
        </w:tc>
        <w:tc>
          <w:tcPr>
            <w:tcW w:type="dxa" w:w="2160"/>
          </w:tcPr>
          <w:p>
            <w:r>
              <w:rPr>
                <w:sz w:val="18"/>
              </w:rPr>
              <w:t>Ward Manager or Department Head</w:t>
            </w:r>
          </w:p>
        </w:tc>
      </w:tr>
      <w:tr>
        <w:tc>
          <w:tcPr>
            <w:tcW w:type="dxa" w:w="1584"/>
          </w:tcPr>
          <w:p>
            <w:r>
              <w:rPr>
                <w:sz w:val="18"/>
              </w:rPr>
              <w:t>Grade 2 - Moderate</w:t>
            </w:r>
          </w:p>
        </w:tc>
        <w:tc>
          <w:tcPr>
            <w:tcW w:type="dxa" w:w="2448"/>
          </w:tcPr>
          <w:p>
            <w:r>
              <w:rPr>
                <w:sz w:val="18"/>
              </w:rPr>
              <w:t>Service failure causing distress, or a clinical concern with no lasting harm</w:t>
            </w:r>
          </w:p>
        </w:tc>
        <w:tc>
          <w:tcPr>
            <w:tcW w:type="dxa" w:w="3600"/>
          </w:tcPr>
          <w:p>
            <w:r>
              <w:rPr>
                <w:sz w:val="18"/>
              </w:rPr>
              <w:t>Communication breakdown, discharge delay, lost property, repeat cannulation, billing dispute over MYR 1,000</w:t>
            </w:r>
          </w:p>
        </w:tc>
        <w:tc>
          <w:tcPr>
            <w:tcW w:type="dxa" w:w="2160"/>
          </w:tcPr>
          <w:p>
            <w:r>
              <w:rPr>
                <w:sz w:val="18"/>
              </w:rPr>
              <w:t>Patient Experience Manager</w:t>
            </w:r>
          </w:p>
        </w:tc>
      </w:tr>
      <w:tr>
        <w:tc>
          <w:tcPr>
            <w:tcW w:type="dxa" w:w="1584"/>
          </w:tcPr>
          <w:p>
            <w:r>
              <w:rPr>
                <w:sz w:val="18"/>
              </w:rPr>
              <w:t>Grade 3 - Serious</w:t>
            </w:r>
          </w:p>
        </w:tc>
        <w:tc>
          <w:tcPr>
            <w:tcW w:type="dxa" w:w="2448"/>
          </w:tcPr>
          <w:p>
            <w:r>
              <w:rPr>
                <w:sz w:val="18"/>
              </w:rPr>
              <w:t>Clinical incident with temporary harm, or a pattern of repeated failures</w:t>
            </w:r>
          </w:p>
        </w:tc>
        <w:tc>
          <w:tcPr>
            <w:tcW w:type="dxa" w:w="3600"/>
          </w:tcPr>
          <w:p>
            <w:r>
              <w:rPr>
                <w:sz w:val="18"/>
              </w:rPr>
              <w:t>Medication error requiring intervention, missed follow-up appointment leading to readmission, consent process failure</w:t>
            </w:r>
          </w:p>
        </w:tc>
        <w:tc>
          <w:tcPr>
            <w:tcW w:type="dxa" w:w="2160"/>
          </w:tcPr>
          <w:p>
            <w:r>
              <w:rPr>
                <w:sz w:val="18"/>
              </w:rPr>
              <w:t>Head of Clinical Services with Quality and Patient Safety</w:t>
            </w:r>
          </w:p>
        </w:tc>
      </w:tr>
      <w:tr>
        <w:tc>
          <w:tcPr>
            <w:tcW w:type="dxa" w:w="1584"/>
          </w:tcPr>
          <w:p>
            <w:r>
              <w:rPr>
                <w:sz w:val="18"/>
              </w:rPr>
              <w:t>Grade 4 - Critical</w:t>
            </w:r>
          </w:p>
        </w:tc>
        <w:tc>
          <w:tcPr>
            <w:tcW w:type="dxa" w:w="2448"/>
          </w:tcPr>
          <w:p>
            <w:r>
              <w:rPr>
                <w:sz w:val="18"/>
              </w:rPr>
              <w:t>Permanent harm, death, safeguarding concern, or regulatory notification required</w:t>
            </w:r>
          </w:p>
        </w:tc>
        <w:tc>
          <w:tcPr>
            <w:tcW w:type="dxa" w:w="3600"/>
          </w:tcPr>
          <w:p>
            <w:r>
              <w:rPr>
                <w:sz w:val="18"/>
              </w:rPr>
              <w:t>Wrong-site procedure, hospital-acquired infection causing death, allegation of abuse, unexpected death</w:t>
            </w:r>
          </w:p>
        </w:tc>
        <w:tc>
          <w:tcPr>
            <w:tcW w:type="dxa" w:w="2160"/>
          </w:tcPr>
          <w:p>
            <w:r>
              <w:rPr>
                <w:sz w:val="18"/>
              </w:rPr>
              <w:t>Hospital Chief Executive Officer, referred to Serious Incident process</w:t>
            </w:r>
          </w:p>
        </w:tc>
      </w:tr>
    </w:tbl>
    <w:p/>
    <w:p>
      <w:r>
        <w:rPr>
          <w:b/>
          <w:color w:val="00695C"/>
          <w:sz w:val="27"/>
        </w:rPr>
        <w:t>5. Mandatory Response Timelines</w:t>
      </w:r>
    </w:p>
    <w:p>
      <w:pPr>
        <w:spacing w:after="120"/>
      </w:pPr>
      <w:r>
        <w:t>Timelines are measured in working days from the date the complaint is first received by any IHH employee, not from the date it reaches the Patient Experience team.</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736"/>
          </w:tcPr>
          <w:p>
            <w:r>
              <w:rPr>
                <w:b/>
                <w:sz w:val="18"/>
              </w:rPr>
              <w:t>Stage</w:t>
            </w:r>
          </w:p>
        </w:tc>
        <w:tc>
          <w:tcPr>
            <w:tcW w:type="dxa" w:w="1728"/>
          </w:tcPr>
          <w:p>
            <w:r>
              <w:rPr>
                <w:b/>
                <w:sz w:val="18"/>
              </w:rPr>
              <w:t>Grade 1</w:t>
            </w:r>
          </w:p>
        </w:tc>
        <w:tc>
          <w:tcPr>
            <w:tcW w:type="dxa" w:w="1728"/>
          </w:tcPr>
          <w:p>
            <w:r>
              <w:rPr>
                <w:b/>
                <w:sz w:val="18"/>
              </w:rPr>
              <w:t>Grade 2</w:t>
            </w:r>
          </w:p>
        </w:tc>
        <w:tc>
          <w:tcPr>
            <w:tcW w:type="dxa" w:w="1728"/>
          </w:tcPr>
          <w:p>
            <w:r>
              <w:rPr>
                <w:b/>
                <w:sz w:val="18"/>
              </w:rPr>
              <w:t>Grade 3</w:t>
            </w:r>
          </w:p>
        </w:tc>
        <w:tc>
          <w:tcPr>
            <w:tcW w:type="dxa" w:w="1872"/>
          </w:tcPr>
          <w:p>
            <w:r>
              <w:rPr>
                <w:b/>
                <w:sz w:val="18"/>
              </w:rPr>
              <w:t>Grade 4</w:t>
            </w:r>
          </w:p>
        </w:tc>
      </w:tr>
      <w:tr>
        <w:tc>
          <w:tcPr>
            <w:tcW w:type="dxa" w:w="2736"/>
          </w:tcPr>
          <w:p>
            <w:r>
              <w:rPr>
                <w:sz w:val="18"/>
              </w:rPr>
              <w:t>Acknowledge to complainant</w:t>
            </w:r>
          </w:p>
        </w:tc>
        <w:tc>
          <w:tcPr>
            <w:tcW w:type="dxa" w:w="1728"/>
          </w:tcPr>
          <w:p>
            <w:r>
              <w:rPr>
                <w:sz w:val="18"/>
              </w:rPr>
              <w:t>1 working day</w:t>
            </w:r>
          </w:p>
        </w:tc>
        <w:tc>
          <w:tcPr>
            <w:tcW w:type="dxa" w:w="1728"/>
          </w:tcPr>
          <w:p>
            <w:r>
              <w:rPr>
                <w:sz w:val="18"/>
              </w:rPr>
              <w:t>1 working day</w:t>
            </w:r>
          </w:p>
        </w:tc>
        <w:tc>
          <w:tcPr>
            <w:tcW w:type="dxa" w:w="1728"/>
          </w:tcPr>
          <w:p>
            <w:r>
              <w:rPr>
                <w:sz w:val="18"/>
              </w:rPr>
              <w:t>1 working day</w:t>
            </w:r>
          </w:p>
        </w:tc>
        <w:tc>
          <w:tcPr>
            <w:tcW w:type="dxa" w:w="1872"/>
          </w:tcPr>
          <w:p>
            <w:r>
              <w:rPr>
                <w:sz w:val="18"/>
              </w:rPr>
              <w:t>Same day</w:t>
            </w:r>
          </w:p>
        </w:tc>
      </w:tr>
      <w:tr>
        <w:tc>
          <w:tcPr>
            <w:tcW w:type="dxa" w:w="2736"/>
          </w:tcPr>
          <w:p>
            <w:r>
              <w:rPr>
                <w:sz w:val="18"/>
              </w:rPr>
              <w:t>Assign investigating officer</w:t>
            </w:r>
          </w:p>
        </w:tc>
        <w:tc>
          <w:tcPr>
            <w:tcW w:type="dxa" w:w="1728"/>
          </w:tcPr>
          <w:p>
            <w:r>
              <w:rPr>
                <w:sz w:val="18"/>
              </w:rPr>
              <w:t>1 working day</w:t>
            </w:r>
          </w:p>
        </w:tc>
        <w:tc>
          <w:tcPr>
            <w:tcW w:type="dxa" w:w="1728"/>
          </w:tcPr>
          <w:p>
            <w:r>
              <w:rPr>
                <w:sz w:val="18"/>
              </w:rPr>
              <w:t>2 working days</w:t>
            </w:r>
          </w:p>
        </w:tc>
        <w:tc>
          <w:tcPr>
            <w:tcW w:type="dxa" w:w="1728"/>
          </w:tcPr>
          <w:p>
            <w:r>
              <w:rPr>
                <w:sz w:val="18"/>
              </w:rPr>
              <w:t>1 working day</w:t>
            </w:r>
          </w:p>
        </w:tc>
        <w:tc>
          <w:tcPr>
            <w:tcW w:type="dxa" w:w="1872"/>
          </w:tcPr>
          <w:p>
            <w:r>
              <w:rPr>
                <w:sz w:val="18"/>
              </w:rPr>
              <w:t>Same day</w:t>
            </w:r>
          </w:p>
        </w:tc>
      </w:tr>
      <w:tr>
        <w:tc>
          <w:tcPr>
            <w:tcW w:type="dxa" w:w="2736"/>
          </w:tcPr>
          <w:p>
            <w:r>
              <w:rPr>
                <w:sz w:val="18"/>
              </w:rPr>
              <w:t>Duty of candour conversation</w:t>
            </w:r>
          </w:p>
        </w:tc>
        <w:tc>
          <w:tcPr>
            <w:tcW w:type="dxa" w:w="1728"/>
          </w:tcPr>
          <w:p>
            <w:r>
              <w:rPr>
                <w:sz w:val="18"/>
              </w:rPr>
              <w:t>Not applicable</w:t>
            </w:r>
          </w:p>
        </w:tc>
        <w:tc>
          <w:tcPr>
            <w:tcW w:type="dxa" w:w="1728"/>
          </w:tcPr>
          <w:p>
            <w:r>
              <w:rPr>
                <w:sz w:val="18"/>
              </w:rPr>
              <w:t>If harm suspected</w:t>
            </w:r>
          </w:p>
        </w:tc>
        <w:tc>
          <w:tcPr>
            <w:tcW w:type="dxa" w:w="1728"/>
          </w:tcPr>
          <w:p>
            <w:r>
              <w:rPr>
                <w:sz w:val="18"/>
              </w:rPr>
              <w:t>Within 3 working days</w:t>
            </w:r>
          </w:p>
        </w:tc>
        <w:tc>
          <w:tcPr>
            <w:tcW w:type="dxa" w:w="1872"/>
          </w:tcPr>
          <w:p>
            <w:r>
              <w:rPr>
                <w:sz w:val="18"/>
              </w:rPr>
              <w:t>Within 24 hours</w:t>
            </w:r>
          </w:p>
        </w:tc>
      </w:tr>
      <w:tr>
        <w:tc>
          <w:tcPr>
            <w:tcW w:type="dxa" w:w="2736"/>
          </w:tcPr>
          <w:p>
            <w:r>
              <w:rPr>
                <w:sz w:val="18"/>
              </w:rPr>
              <w:t>Complete investigation</w:t>
            </w:r>
          </w:p>
        </w:tc>
        <w:tc>
          <w:tcPr>
            <w:tcW w:type="dxa" w:w="1728"/>
          </w:tcPr>
          <w:p>
            <w:r>
              <w:rPr>
                <w:sz w:val="18"/>
              </w:rPr>
              <w:t>5 working days</w:t>
            </w:r>
          </w:p>
        </w:tc>
        <w:tc>
          <w:tcPr>
            <w:tcW w:type="dxa" w:w="1728"/>
          </w:tcPr>
          <w:p>
            <w:r>
              <w:rPr>
                <w:sz w:val="18"/>
              </w:rPr>
              <w:t>15 working days</w:t>
            </w:r>
          </w:p>
        </w:tc>
        <w:tc>
          <w:tcPr>
            <w:tcW w:type="dxa" w:w="1728"/>
          </w:tcPr>
          <w:p>
            <w:r>
              <w:rPr>
                <w:sz w:val="18"/>
              </w:rPr>
              <w:t>30 working days</w:t>
            </w:r>
          </w:p>
        </w:tc>
        <w:tc>
          <w:tcPr>
            <w:tcW w:type="dxa" w:w="1872"/>
          </w:tcPr>
          <w:p>
            <w:r>
              <w:rPr>
                <w:sz w:val="18"/>
              </w:rPr>
              <w:t>45 working days</w:t>
            </w:r>
          </w:p>
        </w:tc>
      </w:tr>
      <w:tr>
        <w:tc>
          <w:tcPr>
            <w:tcW w:type="dxa" w:w="2736"/>
          </w:tcPr>
          <w:p>
            <w:r>
              <w:rPr>
                <w:sz w:val="18"/>
              </w:rPr>
              <w:t>Issue written response</w:t>
            </w:r>
          </w:p>
        </w:tc>
        <w:tc>
          <w:tcPr>
            <w:tcW w:type="dxa" w:w="1728"/>
          </w:tcPr>
          <w:p>
            <w:r>
              <w:rPr>
                <w:sz w:val="18"/>
              </w:rPr>
              <w:t>5 working days</w:t>
            </w:r>
          </w:p>
        </w:tc>
        <w:tc>
          <w:tcPr>
            <w:tcW w:type="dxa" w:w="1728"/>
          </w:tcPr>
          <w:p>
            <w:r>
              <w:rPr>
                <w:sz w:val="18"/>
              </w:rPr>
              <w:t>20 working days</w:t>
            </w:r>
          </w:p>
        </w:tc>
        <w:tc>
          <w:tcPr>
            <w:tcW w:type="dxa" w:w="1728"/>
          </w:tcPr>
          <w:p>
            <w:r>
              <w:rPr>
                <w:sz w:val="18"/>
              </w:rPr>
              <w:t>35 working days</w:t>
            </w:r>
          </w:p>
        </w:tc>
        <w:tc>
          <w:tcPr>
            <w:tcW w:type="dxa" w:w="1872"/>
          </w:tcPr>
          <w:p>
            <w:r>
              <w:rPr>
                <w:sz w:val="18"/>
              </w:rPr>
              <w:t>50 working days</w:t>
            </w:r>
          </w:p>
        </w:tc>
      </w:tr>
      <w:tr>
        <w:tc>
          <w:tcPr>
            <w:tcW w:type="dxa" w:w="2736"/>
          </w:tcPr>
          <w:p>
            <w:r>
              <w:rPr>
                <w:sz w:val="18"/>
              </w:rPr>
              <w:t>Notify regulator</w:t>
            </w:r>
          </w:p>
        </w:tc>
        <w:tc>
          <w:tcPr>
            <w:tcW w:type="dxa" w:w="1728"/>
          </w:tcPr>
          <w:p>
            <w:r>
              <w:rPr>
                <w:sz w:val="18"/>
              </w:rPr>
              <w:t>Not applicable</w:t>
            </w:r>
          </w:p>
        </w:tc>
        <w:tc>
          <w:tcPr>
            <w:tcW w:type="dxa" w:w="1728"/>
          </w:tcPr>
          <w:p>
            <w:r>
              <w:rPr>
                <w:sz w:val="18"/>
              </w:rPr>
              <w:t>Not applicable</w:t>
            </w:r>
          </w:p>
        </w:tc>
        <w:tc>
          <w:tcPr>
            <w:tcW w:type="dxa" w:w="1728"/>
          </w:tcPr>
          <w:p>
            <w:r>
              <w:rPr>
                <w:sz w:val="18"/>
              </w:rPr>
              <w:t>If required</w:t>
            </w:r>
          </w:p>
        </w:tc>
        <w:tc>
          <w:tcPr>
            <w:tcW w:type="dxa" w:w="1872"/>
          </w:tcPr>
          <w:p>
            <w:r>
              <w:rPr>
                <w:sz w:val="18"/>
              </w:rPr>
              <w:t>Within 24 hours</w:t>
            </w:r>
          </w:p>
        </w:tc>
      </w:tr>
      <w:tr>
        <w:tc>
          <w:tcPr>
            <w:tcW w:type="dxa" w:w="2736"/>
          </w:tcPr>
          <w:p>
            <w:r>
              <w:rPr>
                <w:sz w:val="18"/>
              </w:rPr>
              <w:t>Report to Hospital Quality Committee</w:t>
            </w:r>
          </w:p>
        </w:tc>
        <w:tc>
          <w:tcPr>
            <w:tcW w:type="dxa" w:w="1728"/>
          </w:tcPr>
          <w:p>
            <w:r>
              <w:rPr>
                <w:sz w:val="18"/>
              </w:rPr>
              <w:t>Monthly summary</w:t>
            </w:r>
          </w:p>
        </w:tc>
        <w:tc>
          <w:tcPr>
            <w:tcW w:type="dxa" w:w="1728"/>
          </w:tcPr>
          <w:p>
            <w:r>
              <w:rPr>
                <w:sz w:val="18"/>
              </w:rPr>
              <w:t>Monthly summary</w:t>
            </w:r>
          </w:p>
        </w:tc>
        <w:tc>
          <w:tcPr>
            <w:tcW w:type="dxa" w:w="1728"/>
          </w:tcPr>
          <w:p>
            <w:r>
              <w:rPr>
                <w:sz w:val="18"/>
              </w:rPr>
              <w:t>Individual case</w:t>
            </w:r>
          </w:p>
        </w:tc>
        <w:tc>
          <w:tcPr>
            <w:tcW w:type="dxa" w:w="1872"/>
          </w:tcPr>
          <w:p>
            <w:r>
              <w:rPr>
                <w:sz w:val="18"/>
              </w:rPr>
              <w:t>Individual case, plus Group notification</w:t>
            </w:r>
          </w:p>
        </w:tc>
      </w:tr>
    </w:tbl>
    <w:p/>
    <w:p>
      <w:pPr>
        <w:spacing w:after="120"/>
      </w:pPr>
      <w:r>
        <w:t>Where an investigation cannot be completed within the deadline, the complainant must be contacted before the deadline expires, given a revised date and a reason for the delay. A complaint may be extended once. A second extension requires the written approval of the Hospital Chief Executive Officer.</w:t>
      </w:r>
    </w:p>
    <w:p>
      <w:r>
        <w:rPr>
          <w:b/>
          <w:color w:val="00695C"/>
          <w:sz w:val="27"/>
        </w:rPr>
        <w:t>6. Escalation Triggers</w:t>
      </w:r>
    </w:p>
    <w:p>
      <w:pPr>
        <w:spacing w:after="120"/>
      </w:pPr>
      <w:r>
        <w:t>The following circumstances require immediate escalation regardless of the assigned grade.</w:t>
      </w:r>
    </w:p>
    <w:tbl>
      <w:tblPr>
        <w:tblStyle w:val="LightGrid-Accent1"/>
        <w:tblW w:type="auto" w:w="0"/>
        <w:tblLook w:firstColumn="1" w:firstRow="1" w:lastColumn="0" w:lastRow="0" w:noHBand="0" w:noVBand="1" w:val="04A0"/>
      </w:tblPr>
      <w:tblGrid>
        <w:gridCol w:w="3216"/>
        <w:gridCol w:w="3216"/>
        <w:gridCol w:w="3216"/>
      </w:tblGrid>
      <w:tr>
        <w:tc>
          <w:tcPr>
            <w:tcW w:type="dxa" w:w="3744"/>
          </w:tcPr>
          <w:p>
            <w:r>
              <w:rPr>
                <w:b/>
                <w:sz w:val="18"/>
              </w:rPr>
              <w:t>Trigger</w:t>
            </w:r>
          </w:p>
        </w:tc>
        <w:tc>
          <w:tcPr>
            <w:tcW w:type="dxa" w:w="3888"/>
          </w:tcPr>
          <w:p>
            <w:r>
              <w:rPr>
                <w:b/>
                <w:sz w:val="18"/>
              </w:rPr>
              <w:t>Escalate to</w:t>
            </w:r>
          </w:p>
        </w:tc>
        <w:tc>
          <w:tcPr>
            <w:tcW w:type="dxa" w:w="1728"/>
          </w:tcPr>
          <w:p>
            <w:r>
              <w:rPr>
                <w:b/>
                <w:sz w:val="18"/>
              </w:rPr>
              <w:t>Timeline</w:t>
            </w:r>
          </w:p>
        </w:tc>
      </w:tr>
      <w:tr>
        <w:tc>
          <w:tcPr>
            <w:tcW w:type="dxa" w:w="3744"/>
          </w:tcPr>
          <w:p>
            <w:r>
              <w:rPr>
                <w:sz w:val="18"/>
              </w:rPr>
              <w:t>Complaint alleges harm to a patient</w:t>
            </w:r>
          </w:p>
        </w:tc>
        <w:tc>
          <w:tcPr>
            <w:tcW w:type="dxa" w:w="3888"/>
          </w:tcPr>
          <w:p>
            <w:r>
              <w:rPr>
                <w:sz w:val="18"/>
              </w:rPr>
              <w:t>Head of Clinical Services and Quality and Patient Safety</w:t>
            </w:r>
          </w:p>
        </w:tc>
        <w:tc>
          <w:tcPr>
            <w:tcW w:type="dxa" w:w="1728"/>
          </w:tcPr>
          <w:p>
            <w:r>
              <w:rPr>
                <w:sz w:val="18"/>
              </w:rPr>
              <w:t>Within 4 hours</w:t>
            </w:r>
          </w:p>
        </w:tc>
      </w:tr>
      <w:tr>
        <w:tc>
          <w:tcPr>
            <w:tcW w:type="dxa" w:w="3744"/>
          </w:tcPr>
          <w:p>
            <w:r>
              <w:rPr>
                <w:sz w:val="18"/>
              </w:rPr>
              <w:t>Complaint alleges abuse, neglect or a safeguarding concern</w:t>
            </w:r>
          </w:p>
        </w:tc>
        <w:tc>
          <w:tcPr>
            <w:tcW w:type="dxa" w:w="3888"/>
          </w:tcPr>
          <w:p>
            <w:r>
              <w:rPr>
                <w:sz w:val="18"/>
              </w:rPr>
              <w:t>Hospital Chief Executive Officer and the designated safeguarding lead</w:t>
            </w:r>
          </w:p>
        </w:tc>
        <w:tc>
          <w:tcPr>
            <w:tcW w:type="dxa" w:w="1728"/>
          </w:tcPr>
          <w:p>
            <w:r>
              <w:rPr>
                <w:sz w:val="18"/>
              </w:rPr>
              <w:t>Immediately</w:t>
            </w:r>
          </w:p>
        </w:tc>
      </w:tr>
      <w:tr>
        <w:tc>
          <w:tcPr>
            <w:tcW w:type="dxa" w:w="3744"/>
          </w:tcPr>
          <w:p>
            <w:r>
              <w:rPr>
                <w:sz w:val="18"/>
              </w:rPr>
              <w:t>Complainant states an intention to take legal action</w:t>
            </w:r>
          </w:p>
        </w:tc>
        <w:tc>
          <w:tcPr>
            <w:tcW w:type="dxa" w:w="3888"/>
          </w:tcPr>
          <w:p>
            <w:r>
              <w:rPr>
                <w:sz w:val="18"/>
              </w:rPr>
              <w:t>Group Legal</w:t>
            </w:r>
          </w:p>
        </w:tc>
        <w:tc>
          <w:tcPr>
            <w:tcW w:type="dxa" w:w="1728"/>
          </w:tcPr>
          <w:p>
            <w:r>
              <w:rPr>
                <w:sz w:val="18"/>
              </w:rPr>
              <w:t>Within 1 working day</w:t>
            </w:r>
          </w:p>
        </w:tc>
      </w:tr>
      <w:tr>
        <w:tc>
          <w:tcPr>
            <w:tcW w:type="dxa" w:w="3744"/>
          </w:tcPr>
          <w:p>
            <w:r>
              <w:rPr>
                <w:sz w:val="18"/>
              </w:rPr>
              <w:t>Complainant states an intention to contact media or a regulator</w:t>
            </w:r>
          </w:p>
        </w:tc>
        <w:tc>
          <w:tcPr>
            <w:tcW w:type="dxa" w:w="3888"/>
          </w:tcPr>
          <w:p>
            <w:r>
              <w:rPr>
                <w:sz w:val="18"/>
              </w:rPr>
              <w:t>Hospital Chief Executive Officer and Group Corporate Communications</w:t>
            </w:r>
          </w:p>
        </w:tc>
        <w:tc>
          <w:tcPr>
            <w:tcW w:type="dxa" w:w="1728"/>
          </w:tcPr>
          <w:p>
            <w:r>
              <w:rPr>
                <w:sz w:val="18"/>
              </w:rPr>
              <w:t>Within 4 hours</w:t>
            </w:r>
          </w:p>
        </w:tc>
      </w:tr>
      <w:tr>
        <w:tc>
          <w:tcPr>
            <w:tcW w:type="dxa" w:w="3744"/>
          </w:tcPr>
          <w:p>
            <w:r>
              <w:rPr>
                <w:sz w:val="18"/>
              </w:rPr>
              <w:t>Three or more complaints about the same clinician within 12 months</w:t>
            </w:r>
          </w:p>
        </w:tc>
        <w:tc>
          <w:tcPr>
            <w:tcW w:type="dxa" w:w="3888"/>
          </w:tcPr>
          <w:p>
            <w:r>
              <w:rPr>
                <w:sz w:val="18"/>
              </w:rPr>
              <w:t>Head of Clinical Services, referred to the Medical Advisory Committee</w:t>
            </w:r>
          </w:p>
        </w:tc>
        <w:tc>
          <w:tcPr>
            <w:tcW w:type="dxa" w:w="1728"/>
          </w:tcPr>
          <w:p>
            <w:r>
              <w:rPr>
                <w:sz w:val="18"/>
              </w:rPr>
              <w:t>Within 5 working days</w:t>
            </w:r>
          </w:p>
        </w:tc>
      </w:tr>
      <w:tr>
        <w:tc>
          <w:tcPr>
            <w:tcW w:type="dxa" w:w="3744"/>
          </w:tcPr>
          <w:p>
            <w:r>
              <w:rPr>
                <w:sz w:val="18"/>
              </w:rPr>
              <w:t>Three or more complaints about the same ward or process within 3 months</w:t>
            </w:r>
          </w:p>
        </w:tc>
        <w:tc>
          <w:tcPr>
            <w:tcW w:type="dxa" w:w="3888"/>
          </w:tcPr>
          <w:p>
            <w:r>
              <w:rPr>
                <w:sz w:val="18"/>
              </w:rPr>
              <w:t>Hospital Quality Committee, thematic review commissioned</w:t>
            </w:r>
          </w:p>
        </w:tc>
        <w:tc>
          <w:tcPr>
            <w:tcW w:type="dxa" w:w="1728"/>
          </w:tcPr>
          <w:p>
            <w:r>
              <w:rPr>
                <w:sz w:val="18"/>
              </w:rPr>
              <w:t>Within 10 working days</w:t>
            </w:r>
          </w:p>
        </w:tc>
      </w:tr>
      <w:tr>
        <w:tc>
          <w:tcPr>
            <w:tcW w:type="dxa" w:w="3744"/>
          </w:tcPr>
          <w:p>
            <w:r>
              <w:rPr>
                <w:sz w:val="18"/>
              </w:rPr>
              <w:t>Complaint received directly from a regulator or health authority</w:t>
            </w:r>
          </w:p>
        </w:tc>
        <w:tc>
          <w:tcPr>
            <w:tcW w:type="dxa" w:w="3888"/>
          </w:tcPr>
          <w:p>
            <w:r>
              <w:rPr>
                <w:sz w:val="18"/>
              </w:rPr>
              <w:t>Hospital Chief Executive Officer and Group Quality and Patient Safety</w:t>
            </w:r>
          </w:p>
        </w:tc>
        <w:tc>
          <w:tcPr>
            <w:tcW w:type="dxa" w:w="1728"/>
          </w:tcPr>
          <w:p>
            <w:r>
              <w:rPr>
                <w:sz w:val="18"/>
              </w:rPr>
              <w:t>Same day</w:t>
            </w:r>
          </w:p>
        </w:tc>
      </w:tr>
      <w:tr>
        <w:tc>
          <w:tcPr>
            <w:tcW w:type="dxa" w:w="3744"/>
          </w:tcPr>
          <w:p>
            <w:r>
              <w:rPr>
                <w:sz w:val="18"/>
              </w:rPr>
              <w:t>Any Grade 4 complaint</w:t>
            </w:r>
          </w:p>
        </w:tc>
        <w:tc>
          <w:tcPr>
            <w:tcW w:type="dxa" w:w="3888"/>
          </w:tcPr>
          <w:p>
            <w:r>
              <w:rPr>
                <w:sz w:val="18"/>
              </w:rPr>
              <w:t>Group Chief Medical Officer via the Serious Incident process</w:t>
            </w:r>
          </w:p>
        </w:tc>
        <w:tc>
          <w:tcPr>
            <w:tcW w:type="dxa" w:w="1728"/>
          </w:tcPr>
          <w:p>
            <w:r>
              <w:rPr>
                <w:sz w:val="18"/>
              </w:rPr>
              <w:t>Within 24 hours</w:t>
            </w:r>
          </w:p>
        </w:tc>
      </w:tr>
    </w:tbl>
    <w:p/>
    <w:p>
      <w:r>
        <w:rPr>
          <w:b/>
          <w:color w:val="00695C"/>
          <w:sz w:val="27"/>
        </w:rPr>
        <w:t>7. Duty of Candour</w:t>
      </w:r>
    </w:p>
    <w:p>
      <w:pPr>
        <w:spacing w:after="120"/>
      </w:pPr>
      <w:r>
        <w:t>Where a patient has suffered unintended harm during care, IHH applies the duty of candour. The conversation is held face to face wherever possible, by a clinician who was involved in the care or who has clinical seniority in the relevant specialty.</w:t>
      </w:r>
    </w:p>
    <w:p>
      <w:pPr>
        <w:pStyle w:val="ListBullet"/>
      </w:pPr>
      <w:r>
        <w:t>Tell the patient or their nominated representative what happened, in plain language, as soon as the harm is identified.</w:t>
      </w:r>
    </w:p>
    <w:p>
      <w:pPr>
        <w:pStyle w:val="ListBullet"/>
      </w:pPr>
      <w:r>
        <w:t>Offer an apology. An apology is an expression of sorrow or regret and is not an admission of legal liability.</w:t>
      </w:r>
    </w:p>
    <w:p>
      <w:pPr>
        <w:pStyle w:val="ListBullet"/>
      </w:pPr>
      <w:r>
        <w:t>Explain what is known at that point and what is still being investigated. Do not speculate.</w:t>
      </w:r>
    </w:p>
    <w:p>
      <w:pPr>
        <w:pStyle w:val="ListBullet"/>
      </w:pPr>
      <w:r>
        <w:t>Provide a written record of the conversation to the patient within 10 working days.</w:t>
      </w:r>
    </w:p>
    <w:p>
      <w:pPr>
        <w:pStyle w:val="ListBullet"/>
      </w:pPr>
      <w:r>
        <w:t>Record the conversation, the attendees, and the information given in the medical record and in the complaints system.</w:t>
      </w:r>
    </w:p>
    <w:p>
      <w:pPr>
        <w:pStyle w:val="ListBullet"/>
      </w:pPr>
      <w:r>
        <w:t>Tell the patient what will change as a result, and when they will hear the outcome of the investigation.</w:t>
      </w:r>
    </w:p>
    <w:p>
      <w:r>
        <w:rPr>
          <w:b/>
          <w:color w:val="00695C"/>
          <w:sz w:val="27"/>
        </w:rPr>
        <w:t>8. Remedies and Redress</w:t>
      </w:r>
    </w:p>
    <w:tbl>
      <w:tblPr>
        <w:tblStyle w:val="LightGrid-Accent1"/>
        <w:tblW w:type="auto" w:w="0"/>
        <w:tblLook w:firstColumn="1" w:firstRow="1" w:lastColumn="0" w:lastRow="0" w:noHBand="0" w:noVBand="1" w:val="04A0"/>
      </w:tblPr>
      <w:tblGrid>
        <w:gridCol w:w="3216"/>
        <w:gridCol w:w="3216"/>
        <w:gridCol w:w="3216"/>
      </w:tblGrid>
      <w:tr>
        <w:tc>
          <w:tcPr>
            <w:tcW w:type="dxa" w:w="3456"/>
          </w:tcPr>
          <w:p>
            <w:r>
              <w:rPr>
                <w:b/>
                <w:sz w:val="18"/>
              </w:rPr>
              <w:t>Remedy</w:t>
            </w:r>
          </w:p>
        </w:tc>
        <w:tc>
          <w:tcPr>
            <w:tcW w:type="dxa" w:w="4320"/>
          </w:tcPr>
          <w:p>
            <w:r>
              <w:rPr>
                <w:b/>
                <w:sz w:val="18"/>
              </w:rPr>
              <w:t>Approver</w:t>
            </w:r>
          </w:p>
        </w:tc>
        <w:tc>
          <w:tcPr>
            <w:tcW w:type="dxa" w:w="1584"/>
          </w:tcPr>
          <w:p>
            <w:r>
              <w:rPr>
                <w:b/>
                <w:sz w:val="18"/>
              </w:rPr>
              <w:t>Limit</w:t>
            </w:r>
          </w:p>
        </w:tc>
      </w:tr>
      <w:tr>
        <w:tc>
          <w:tcPr>
            <w:tcW w:type="dxa" w:w="3456"/>
          </w:tcPr>
          <w:p>
            <w:r>
              <w:rPr>
                <w:sz w:val="18"/>
              </w:rPr>
              <w:t>Written apology</w:t>
            </w:r>
          </w:p>
        </w:tc>
        <w:tc>
          <w:tcPr>
            <w:tcW w:type="dxa" w:w="4320"/>
          </w:tcPr>
          <w:p>
            <w:r>
              <w:rPr>
                <w:sz w:val="18"/>
              </w:rPr>
              <w:t>Investigating officer</w:t>
            </w:r>
          </w:p>
        </w:tc>
        <w:tc>
          <w:tcPr>
            <w:tcW w:type="dxa" w:w="1584"/>
          </w:tcPr>
          <w:p>
            <w:r>
              <w:rPr>
                <w:sz w:val="18"/>
              </w:rPr>
              <w:t>No limit</w:t>
            </w:r>
          </w:p>
        </w:tc>
      </w:tr>
      <w:tr>
        <w:tc>
          <w:tcPr>
            <w:tcW w:type="dxa" w:w="3456"/>
          </w:tcPr>
          <w:p>
            <w:r>
              <w:rPr>
                <w:sz w:val="18"/>
              </w:rPr>
              <w:t>Waiver of a disputed charge</w:t>
            </w:r>
          </w:p>
        </w:tc>
        <w:tc>
          <w:tcPr>
            <w:tcW w:type="dxa" w:w="4320"/>
          </w:tcPr>
          <w:p>
            <w:r>
              <w:rPr>
                <w:sz w:val="18"/>
              </w:rPr>
              <w:t>Finance Manager</w:t>
            </w:r>
          </w:p>
        </w:tc>
        <w:tc>
          <w:tcPr>
            <w:tcW w:type="dxa" w:w="1584"/>
          </w:tcPr>
          <w:p>
            <w:r>
              <w:rPr>
                <w:sz w:val="18"/>
              </w:rPr>
              <w:t>Up to MYR 5,000</w:t>
            </w:r>
          </w:p>
        </w:tc>
      </w:tr>
      <w:tr>
        <w:tc>
          <w:tcPr>
            <w:tcW w:type="dxa" w:w="3456"/>
          </w:tcPr>
          <w:p>
            <w:r>
              <w:rPr>
                <w:sz w:val="18"/>
              </w:rPr>
              <w:t>Waiver of a disputed charge</w:t>
            </w:r>
          </w:p>
        </w:tc>
        <w:tc>
          <w:tcPr>
            <w:tcW w:type="dxa" w:w="4320"/>
          </w:tcPr>
          <w:p>
            <w:r>
              <w:rPr>
                <w:sz w:val="18"/>
              </w:rPr>
              <w:t>Hospital Chief Executive Officer</w:t>
            </w:r>
          </w:p>
        </w:tc>
        <w:tc>
          <w:tcPr>
            <w:tcW w:type="dxa" w:w="1584"/>
          </w:tcPr>
          <w:p>
            <w:r>
              <w:rPr>
                <w:sz w:val="18"/>
              </w:rPr>
              <w:t>MYR 5,000 to MYR 50,000</w:t>
            </w:r>
          </w:p>
        </w:tc>
      </w:tr>
      <w:tr>
        <w:tc>
          <w:tcPr>
            <w:tcW w:type="dxa" w:w="3456"/>
          </w:tcPr>
          <w:p>
            <w:r>
              <w:rPr>
                <w:sz w:val="18"/>
              </w:rPr>
              <w:t>Waiver of a disputed charge</w:t>
            </w:r>
          </w:p>
        </w:tc>
        <w:tc>
          <w:tcPr>
            <w:tcW w:type="dxa" w:w="4320"/>
          </w:tcPr>
          <w:p>
            <w:r>
              <w:rPr>
                <w:sz w:val="18"/>
              </w:rPr>
              <w:t>Group Chief Financial Officer</w:t>
            </w:r>
          </w:p>
        </w:tc>
        <w:tc>
          <w:tcPr>
            <w:tcW w:type="dxa" w:w="1584"/>
          </w:tcPr>
          <w:p>
            <w:r>
              <w:rPr>
                <w:sz w:val="18"/>
              </w:rPr>
              <w:t>Above MYR 50,000</w:t>
            </w:r>
          </w:p>
        </w:tc>
      </w:tr>
      <w:tr>
        <w:tc>
          <w:tcPr>
            <w:tcW w:type="dxa" w:w="3456"/>
          </w:tcPr>
          <w:p>
            <w:r>
              <w:rPr>
                <w:sz w:val="18"/>
              </w:rPr>
              <w:t>Goodwill payment</w:t>
            </w:r>
          </w:p>
        </w:tc>
        <w:tc>
          <w:tcPr>
            <w:tcW w:type="dxa" w:w="4320"/>
          </w:tcPr>
          <w:p>
            <w:r>
              <w:rPr>
                <w:sz w:val="18"/>
              </w:rPr>
              <w:t>Hospital Chief Executive Officer with Group Legal consulted</w:t>
            </w:r>
          </w:p>
        </w:tc>
        <w:tc>
          <w:tcPr>
            <w:tcW w:type="dxa" w:w="1584"/>
          </w:tcPr>
          <w:p>
            <w:r>
              <w:rPr>
                <w:sz w:val="18"/>
              </w:rPr>
              <w:t>Up to MYR 20,000</w:t>
            </w:r>
          </w:p>
        </w:tc>
      </w:tr>
      <w:tr>
        <w:tc>
          <w:tcPr>
            <w:tcW w:type="dxa" w:w="3456"/>
          </w:tcPr>
          <w:p>
            <w:r>
              <w:rPr>
                <w:sz w:val="18"/>
              </w:rPr>
              <w:t>Goodwill payment</w:t>
            </w:r>
          </w:p>
        </w:tc>
        <w:tc>
          <w:tcPr>
            <w:tcW w:type="dxa" w:w="4320"/>
          </w:tcPr>
          <w:p>
            <w:r>
              <w:rPr>
                <w:sz w:val="18"/>
              </w:rPr>
              <w:t>Group Chief Executive Officer with Group Legal</w:t>
            </w:r>
          </w:p>
        </w:tc>
        <w:tc>
          <w:tcPr>
            <w:tcW w:type="dxa" w:w="1584"/>
          </w:tcPr>
          <w:p>
            <w:r>
              <w:rPr>
                <w:sz w:val="18"/>
              </w:rPr>
              <w:t>Above MYR 20,000</w:t>
            </w:r>
          </w:p>
        </w:tc>
      </w:tr>
      <w:tr>
        <w:tc>
          <w:tcPr>
            <w:tcW w:type="dxa" w:w="3456"/>
          </w:tcPr>
          <w:p>
            <w:r>
              <w:rPr>
                <w:sz w:val="18"/>
              </w:rPr>
              <w:t>Provision of further treatment at no charge</w:t>
            </w:r>
          </w:p>
        </w:tc>
        <w:tc>
          <w:tcPr>
            <w:tcW w:type="dxa" w:w="4320"/>
          </w:tcPr>
          <w:p>
            <w:r>
              <w:rPr>
                <w:sz w:val="18"/>
              </w:rPr>
              <w:t>Head of Clinical Services and Hospital Chief Executive Officer</w:t>
            </w:r>
          </w:p>
        </w:tc>
        <w:tc>
          <w:tcPr>
            <w:tcW w:type="dxa" w:w="1584"/>
          </w:tcPr>
          <w:p>
            <w:r>
              <w:rPr>
                <w:sz w:val="18"/>
              </w:rPr>
              <w:t>Case by case</w:t>
            </w:r>
          </w:p>
        </w:tc>
      </w:tr>
    </w:tbl>
    <w:p/>
    <w:p>
      <w:pPr>
        <w:spacing w:after="120"/>
      </w:pPr>
      <w:r>
        <w:t>No remedy may be offered on condition that the complainant withdraws the complaint, waives a right of further recourse, or agrees not to discuss the matter.</w:t>
      </w:r>
    </w:p>
    <w:p>
      <w:r>
        <w:rPr>
          <w:b/>
          <w:color w:val="00695C"/>
          <w:sz w:val="27"/>
        </w:rPr>
        <w:t>9. Learning and Improvement</w:t>
      </w:r>
    </w:p>
    <w:p>
      <w:pPr>
        <w:pStyle w:val="ListBullet"/>
      </w:pPr>
      <w:r>
        <w:t>Every closed Grade 3 and Grade 4 complaint produces at least one documented action with a named owner and a due date.</w:t>
      </w:r>
    </w:p>
    <w:p>
      <w:pPr>
        <w:pStyle w:val="ListBullet"/>
      </w:pPr>
      <w:r>
        <w:t>The Patient Experience Manager produces a monthly thematic report identifying the top five complaint themes by volume and by severity.</w:t>
      </w:r>
    </w:p>
    <w:p>
      <w:pPr>
        <w:pStyle w:val="ListBullet"/>
      </w:pPr>
      <w:r>
        <w:t>The Hospital Quality Committee reviews the thematic report monthly and commissions deep dives where a theme persists for three consecutive months.</w:t>
      </w:r>
    </w:p>
    <w:p>
      <w:pPr>
        <w:pStyle w:val="ListBullet"/>
      </w:pPr>
      <w:r>
        <w:t>Actions are tracked to closure in the hospital quality improvement register. Actions overdue by more than 30 days are escalated to the Hospital Chief Executive Officer.</w:t>
      </w:r>
    </w:p>
    <w:p>
      <w:pPr>
        <w:pStyle w:val="ListBullet"/>
      </w:pPr>
      <w:r>
        <w:t>Group Patient Experience publishes a quarterly cross-hospital comparison of complaint volume, response timeliness and reopened complaint rate.</w:t>
      </w:r>
    </w:p>
    <w:p>
      <w:r>
        <w:rPr>
          <w:b/>
          <w:color w:val="00695C"/>
          <w:sz w:val="27"/>
        </w:rPr>
        <w:t>10. Reporting Indicators</w:t>
      </w:r>
    </w:p>
    <w:tbl>
      <w:tblPr>
        <w:tblStyle w:val="LightGrid-Accent1"/>
        <w:tblW w:type="auto" w:w="0"/>
        <w:tblLook w:firstColumn="1" w:firstRow="1" w:lastColumn="0" w:lastRow="0" w:noHBand="0" w:noVBand="1" w:val="04A0"/>
      </w:tblPr>
      <w:tblGrid>
        <w:gridCol w:w="3216"/>
        <w:gridCol w:w="3216"/>
        <w:gridCol w:w="3216"/>
      </w:tblGrid>
      <w:tr>
        <w:tc>
          <w:tcPr>
            <w:tcW w:type="dxa" w:w="3312"/>
          </w:tcPr>
          <w:p>
            <w:r>
              <w:rPr>
                <w:b/>
                <w:sz w:val="18"/>
              </w:rPr>
              <w:t>Indicator</w:t>
            </w:r>
          </w:p>
        </w:tc>
        <w:tc>
          <w:tcPr>
            <w:tcW w:type="dxa" w:w="4320"/>
          </w:tcPr>
          <w:p>
            <w:r>
              <w:rPr>
                <w:b/>
                <w:sz w:val="18"/>
              </w:rPr>
              <w:t>Definition</w:t>
            </w:r>
          </w:p>
        </w:tc>
        <w:tc>
          <w:tcPr>
            <w:tcW w:type="dxa" w:w="1728"/>
          </w:tcPr>
          <w:p>
            <w:r>
              <w:rPr>
                <w:b/>
                <w:sz w:val="18"/>
              </w:rPr>
              <w:t>Group threshold</w:t>
            </w:r>
          </w:p>
        </w:tc>
      </w:tr>
      <w:tr>
        <w:tc>
          <w:tcPr>
            <w:tcW w:type="dxa" w:w="3312"/>
          </w:tcPr>
          <w:p>
            <w:r>
              <w:rPr>
                <w:sz w:val="18"/>
              </w:rPr>
              <w:t>Acknowledgement within timeline</w:t>
            </w:r>
          </w:p>
        </w:tc>
        <w:tc>
          <w:tcPr>
            <w:tcW w:type="dxa" w:w="4320"/>
          </w:tcPr>
          <w:p>
            <w:r>
              <w:rPr>
                <w:sz w:val="18"/>
              </w:rPr>
              <w:t>Complaints acknowledged within the grade deadline</w:t>
            </w:r>
          </w:p>
        </w:tc>
        <w:tc>
          <w:tcPr>
            <w:tcW w:type="dxa" w:w="1728"/>
          </w:tcPr>
          <w:p>
            <w:r>
              <w:rPr>
                <w:sz w:val="18"/>
              </w:rPr>
              <w:t>98% or above</w:t>
            </w:r>
          </w:p>
        </w:tc>
      </w:tr>
      <w:tr>
        <w:tc>
          <w:tcPr>
            <w:tcW w:type="dxa" w:w="3312"/>
          </w:tcPr>
          <w:p>
            <w:r>
              <w:rPr>
                <w:sz w:val="18"/>
              </w:rPr>
              <w:t>Response within timeline</w:t>
            </w:r>
          </w:p>
        </w:tc>
        <w:tc>
          <w:tcPr>
            <w:tcW w:type="dxa" w:w="4320"/>
          </w:tcPr>
          <w:p>
            <w:r>
              <w:rPr>
                <w:sz w:val="18"/>
              </w:rPr>
              <w:t>Written responses issued within the grade deadline</w:t>
            </w:r>
          </w:p>
        </w:tc>
        <w:tc>
          <w:tcPr>
            <w:tcW w:type="dxa" w:w="1728"/>
          </w:tcPr>
          <w:p>
            <w:r>
              <w:rPr>
                <w:sz w:val="18"/>
              </w:rPr>
              <w:t>90% or above</w:t>
            </w:r>
          </w:p>
        </w:tc>
      </w:tr>
      <w:tr>
        <w:tc>
          <w:tcPr>
            <w:tcW w:type="dxa" w:w="3312"/>
          </w:tcPr>
          <w:p>
            <w:r>
              <w:rPr>
                <w:sz w:val="18"/>
              </w:rPr>
              <w:t>Reopened complaint rate</w:t>
            </w:r>
          </w:p>
        </w:tc>
        <w:tc>
          <w:tcPr>
            <w:tcW w:type="dxa" w:w="4320"/>
          </w:tcPr>
          <w:p>
            <w:r>
              <w:rPr>
                <w:sz w:val="18"/>
              </w:rPr>
              <w:t>Complaints reopened after a response was issued</w:t>
            </w:r>
          </w:p>
        </w:tc>
        <w:tc>
          <w:tcPr>
            <w:tcW w:type="dxa" w:w="1728"/>
          </w:tcPr>
          <w:p>
            <w:r>
              <w:rPr>
                <w:sz w:val="18"/>
              </w:rPr>
              <w:t>5% or below</w:t>
            </w:r>
          </w:p>
        </w:tc>
      </w:tr>
      <w:tr>
        <w:tc>
          <w:tcPr>
            <w:tcW w:type="dxa" w:w="3312"/>
          </w:tcPr>
          <w:p>
            <w:r>
              <w:rPr>
                <w:sz w:val="18"/>
              </w:rPr>
              <w:t>Complaints per 1,000 patient episodes</w:t>
            </w:r>
          </w:p>
        </w:tc>
        <w:tc>
          <w:tcPr>
            <w:tcW w:type="dxa" w:w="4320"/>
          </w:tcPr>
          <w:p>
            <w:r>
              <w:rPr>
                <w:sz w:val="18"/>
              </w:rPr>
              <w:t>Total complaints divided by episodes, times 1,000</w:t>
            </w:r>
          </w:p>
        </w:tc>
        <w:tc>
          <w:tcPr>
            <w:tcW w:type="dxa" w:w="1728"/>
          </w:tcPr>
          <w:p>
            <w:r>
              <w:rPr>
                <w:sz w:val="18"/>
              </w:rPr>
              <w:t>Monitored, no fixed threshold</w:t>
            </w:r>
          </w:p>
        </w:tc>
      </w:tr>
      <w:tr>
        <w:tc>
          <w:tcPr>
            <w:tcW w:type="dxa" w:w="3312"/>
          </w:tcPr>
          <w:p>
            <w:r>
              <w:rPr>
                <w:sz w:val="18"/>
              </w:rPr>
              <w:t>Grade 3 and 4 actions closed on time</w:t>
            </w:r>
          </w:p>
        </w:tc>
        <w:tc>
          <w:tcPr>
            <w:tcW w:type="dxa" w:w="4320"/>
          </w:tcPr>
          <w:p>
            <w:r>
              <w:rPr>
                <w:sz w:val="18"/>
              </w:rPr>
              <w:t>Actions closed by their due date</w:t>
            </w:r>
          </w:p>
        </w:tc>
        <w:tc>
          <w:tcPr>
            <w:tcW w:type="dxa" w:w="1728"/>
          </w:tcPr>
          <w:p>
            <w:r>
              <w:rPr>
                <w:sz w:val="18"/>
              </w:rPr>
              <w:t>85% or above</w:t>
            </w:r>
          </w:p>
        </w:tc>
      </w:tr>
      <w:tr>
        <w:tc>
          <w:tcPr>
            <w:tcW w:type="dxa" w:w="3312"/>
          </w:tcPr>
          <w:p>
            <w:r>
              <w:rPr>
                <w:sz w:val="18"/>
              </w:rPr>
              <w:t>Duty of candour compliance</w:t>
            </w:r>
          </w:p>
        </w:tc>
        <w:tc>
          <w:tcPr>
            <w:tcW w:type="dxa" w:w="4320"/>
          </w:tcPr>
          <w:p>
            <w:r>
              <w:rPr>
                <w:sz w:val="18"/>
              </w:rPr>
              <w:t>Eligible cases with a documented candour conversation</w:t>
            </w:r>
          </w:p>
        </w:tc>
        <w:tc>
          <w:tcPr>
            <w:tcW w:type="dxa" w:w="1728"/>
          </w:tcPr>
          <w:p>
            <w:r>
              <w:rPr>
                <w:sz w:val="18"/>
              </w:rPr>
              <w:t>100%</w:t>
            </w:r>
          </w:p>
        </w:tc>
      </w:tr>
    </w:tbl>
    <w:p/>
    <w:p>
      <w:r>
        <w:rPr>
          <w:b/>
          <w:color w:val="00695C"/>
          <w:sz w:val="27"/>
        </w:rPr>
        <w:t>11. Related Documents</w:t>
      </w:r>
    </w:p>
    <w:p>
      <w:pPr>
        <w:pStyle w:val="ListBullet"/>
      </w:pPr>
      <w:r>
        <w:t>IHH-CG-QPS-001 Clinical Governance Framework</w:t>
      </w:r>
    </w:p>
    <w:p>
      <w:pPr>
        <w:pStyle w:val="ListBullet"/>
      </w:pPr>
      <w:r>
        <w:t>IHH-CG-QPS-018 Serious Incident Reporting and Investigation Procedure</w:t>
      </w:r>
    </w:p>
    <w:p>
      <w:pPr>
        <w:pStyle w:val="ListBullet"/>
      </w:pPr>
      <w:r>
        <w:t>IHH-CG-IPC-014 Infection Prevention and Control Policy</w:t>
      </w:r>
    </w:p>
    <w:p>
      <w:pPr>
        <w:pStyle w:val="ListBullet"/>
      </w:pPr>
      <w:r>
        <w:t>IHH-LEG-CLM-003 Clinical Negligence Claims Handling Procedure</w:t>
      </w:r>
    </w:p>
    <w:p>
      <w:pPr>
        <w:pStyle w:val="ListBullet"/>
      </w:pPr>
      <w:r>
        <w:t>IHH-HR-ER-006 Employee Grievance Procedure</w:t>
      </w:r>
    </w:p>
    <w:p>
      <w:pPr>
        <w:pStyle w:val="ListBullet"/>
      </w:pPr>
      <w:r>
        <w:t>IHH-PRO-DIS-011 Supplier Dispute Resolution Procedure</w:t>
      </w:r>
    </w:p>
    <w:p>
      <w:r>
        <w:rPr>
          <w:b/>
          <w:color w:val="00695C"/>
          <w:sz w:val="27"/>
        </w:rPr>
        <w:t>12. Document Control</w:t>
      </w:r>
    </w:p>
    <w:tbl>
      <w:tblPr>
        <w:tblStyle w:val="LightGrid-Accent1"/>
        <w:tblW w:type="auto" w:w="0"/>
        <w:tblLook w:firstColumn="1" w:firstRow="1" w:lastColumn="0" w:lastRow="0" w:noHBand="0" w:noVBand="1" w:val="04A0"/>
      </w:tblPr>
      <w:tblGrid>
        <w:gridCol w:w="2412"/>
        <w:gridCol w:w="2412"/>
        <w:gridCol w:w="2412"/>
        <w:gridCol w:w="2412"/>
      </w:tblGrid>
      <w:tr>
        <w:tc>
          <w:tcPr>
            <w:tcW w:type="dxa" w:w="1152"/>
          </w:tcPr>
          <w:p>
            <w:r>
              <w:rPr>
                <w:b/>
                <w:sz w:val="18"/>
              </w:rPr>
              <w:t>Version</w:t>
            </w:r>
          </w:p>
        </w:tc>
        <w:tc>
          <w:tcPr>
            <w:tcW w:type="dxa" w:w="1728"/>
          </w:tcPr>
          <w:p>
            <w:r>
              <w:rPr>
                <w:b/>
                <w:sz w:val="18"/>
              </w:rPr>
              <w:t>Date</w:t>
            </w:r>
          </w:p>
        </w:tc>
        <w:tc>
          <w:tcPr>
            <w:tcW w:type="dxa" w:w="3168"/>
          </w:tcPr>
          <w:p>
            <w:r>
              <w:rPr>
                <w:b/>
                <w:sz w:val="18"/>
              </w:rPr>
              <w:t>Author</w:t>
            </w:r>
          </w:p>
        </w:tc>
        <w:tc>
          <w:tcPr>
            <w:tcW w:type="dxa" w:w="3312"/>
          </w:tcPr>
          <w:p>
            <w:r>
              <w:rPr>
                <w:b/>
                <w:sz w:val="18"/>
              </w:rPr>
              <w:t>Summary of change</w:t>
            </w:r>
          </w:p>
        </w:tc>
      </w:tr>
      <w:tr>
        <w:tc>
          <w:tcPr>
            <w:tcW w:type="dxa" w:w="1152"/>
          </w:tcPr>
          <w:p>
            <w:r>
              <w:rPr>
                <w:sz w:val="18"/>
              </w:rPr>
              <w:t>3.0</w:t>
            </w:r>
          </w:p>
        </w:tc>
        <w:tc>
          <w:tcPr>
            <w:tcW w:type="dxa" w:w="1728"/>
          </w:tcPr>
          <w:p>
            <w:r>
              <w:rPr>
                <w:sz w:val="18"/>
              </w:rPr>
              <w:t>1 February 2024</w:t>
            </w:r>
          </w:p>
        </w:tc>
        <w:tc>
          <w:tcPr>
            <w:tcW w:type="dxa" w:w="3168"/>
          </w:tcPr>
          <w:p>
            <w:r>
              <w:rPr>
                <w:sz w:val="18"/>
              </w:rPr>
              <w:t>Group Head of Patient Experience</w:t>
            </w:r>
          </w:p>
        </w:tc>
        <w:tc>
          <w:tcPr>
            <w:tcW w:type="dxa" w:w="3312"/>
          </w:tcPr>
          <w:p>
            <w:r>
              <w:rPr>
                <w:sz w:val="18"/>
              </w:rPr>
              <w:t>Full policy rewrite</w:t>
            </w:r>
          </w:p>
        </w:tc>
      </w:tr>
      <w:tr>
        <w:tc>
          <w:tcPr>
            <w:tcW w:type="dxa" w:w="1152"/>
          </w:tcPr>
          <w:p>
            <w:r>
              <w:rPr>
                <w:sz w:val="18"/>
              </w:rPr>
              <w:t>4.0</w:t>
            </w:r>
          </w:p>
        </w:tc>
        <w:tc>
          <w:tcPr>
            <w:tcW w:type="dxa" w:w="1728"/>
          </w:tcPr>
          <w:p>
            <w:r>
              <w:rPr>
                <w:sz w:val="18"/>
              </w:rPr>
              <w:t>1 February 2025</w:t>
            </w:r>
          </w:p>
        </w:tc>
        <w:tc>
          <w:tcPr>
            <w:tcW w:type="dxa" w:w="3168"/>
          </w:tcPr>
          <w:p>
            <w:r>
              <w:rPr>
                <w:sz w:val="18"/>
              </w:rPr>
              <w:t>Group Head of Patient Experience</w:t>
            </w:r>
          </w:p>
        </w:tc>
        <w:tc>
          <w:tcPr>
            <w:tcW w:type="dxa" w:w="3312"/>
          </w:tcPr>
          <w:p>
            <w:r>
              <w:rPr>
                <w:sz w:val="18"/>
              </w:rPr>
              <w:t>Introduced four-grade severity model; added duty of candour section</w:t>
            </w:r>
          </w:p>
        </w:tc>
      </w:tr>
      <w:tr>
        <w:tc>
          <w:tcPr>
            <w:tcW w:type="dxa" w:w="1152"/>
          </w:tcPr>
          <w:p>
            <w:r>
              <w:rPr>
                <w:sz w:val="18"/>
              </w:rPr>
              <w:t>4.1</w:t>
            </w:r>
          </w:p>
        </w:tc>
        <w:tc>
          <w:tcPr>
            <w:tcW w:type="dxa" w:w="1728"/>
          </w:tcPr>
          <w:p>
            <w:r>
              <w:rPr>
                <w:sz w:val="18"/>
              </w:rPr>
              <w:t>1 February 2026</w:t>
            </w:r>
          </w:p>
        </w:tc>
        <w:tc>
          <w:tcPr>
            <w:tcW w:type="dxa" w:w="3168"/>
          </w:tcPr>
          <w:p>
            <w:r>
              <w:rPr>
                <w:sz w:val="18"/>
              </w:rPr>
              <w:t>Group Head of Patient Experience</w:t>
            </w:r>
          </w:p>
        </w:tc>
        <w:tc>
          <w:tcPr>
            <w:tcW w:type="dxa" w:w="3312"/>
          </w:tcPr>
          <w:p>
            <w:r>
              <w:rPr>
                <w:sz w:val="18"/>
              </w:rPr>
              <w:t>Added remedy approval limits in section 8; tightened Grade 4 acknowledgement to same day</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