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Contoso Group</w:t>
      </w:r>
    </w:p>
    <w:p>
      <w:r>
        <w:rPr>
          <w:color w:val="404040"/>
          <w:sz w:val="28"/>
        </w:rPr>
        <w:t>Q1 FY26 — Group Operations Report</w:t>
      </w:r>
    </w:p>
    <w:p>
      <w:r>
        <w:rPr>
          <w:i/>
          <w:color w:val="808080"/>
          <w:sz w:val="18"/>
        </w:rPr>
        <w:t>Prepared by: Group Operations Office  |  Confidential — Internal Use Only  |  Reporting period: 1 January – 31 March 2026</w:t>
      </w:r>
    </w:p>
    <w:p/>
    <w:p>
      <w:r>
        <w:rPr>
          <w:b/>
          <w:color w:val="1F4E79"/>
          <w:sz w:val="28"/>
        </w:rPr>
        <w:t>1. Executive Summary</w:t>
      </w:r>
    </w:p>
    <w:p>
      <w:r>
        <w:t>Group revenue for Q1 FY26 closed at USD 297.6M, +4.2% versus plan and +6.8% versus Q1 FY25, driven by stronger throughput at Site Delta (Asia-Pacific) and continued recovery at the Detroit specialty-chemicals plant. Group EBITDA of USD 46.1M (margin 15.5%) was 3.1% ahead of plan despite higher feedstock costs, reflecting disciplined fixed-cost management and favourable product mix.</w:t>
      </w:r>
    </w:p>
    <w:p>
      <w:r>
        <w:t>Three items require Board attention: (i) Site Epsilon (APAC) is materially below plan on both throughput and EBITDA — a recovery plan is being finalised; (ii) Property division saw a 12-day slip in the Riverside Phase 3 launch; (iii) Group Scope 1+2 emissions intensity ticked up 1.8% vs the FY25 baseline driven by an unplanned diesel-genset run at Site Beta during a grid outage.</w:t>
      </w:r>
    </w:p>
    <w:p>
      <w:r>
        <w:rPr>
          <w:b/>
          <w:color w:val="1F4E79"/>
          <w:sz w:val="28"/>
        </w:rPr>
        <w:t>2. Industrial Operations</w:t>
      </w:r>
    </w:p>
    <w:p>
      <w:r>
        <w:t>Industrial Operations delivered Q1 throughput of 234.7 kt across five sites, up 3.4% sequentially. Group yield held steady at 22.3% (FY25: 22.1%). Highlights:</w:t>
      </w:r>
    </w:p>
    <w:p>
      <w:pPr>
        <w:pStyle w:val="ListBullet"/>
      </w:pPr>
      <w:r>
        <w:t>Site Alpha (North America): Throughput 55.4 kt (+2.6% vs plan). Yield 22.4%. EBITDA margin 16.4%. New conveyor automation delivered 1.2pp OEE improvement.</w:t>
      </w:r>
    </w:p>
    <w:p>
      <w:pPr>
        <w:pStyle w:val="ListBullet"/>
      </w:pPr>
      <w:r>
        <w:t>Site Beta (North America): Throughput 48.7 kt (+0.8% vs plan). Yield 21.9%. Brief grid outage in early March triggered diesel-genset use — investigated under UC9.</w:t>
      </w:r>
    </w:p>
    <w:p>
      <w:pPr>
        <w:pStyle w:val="ListBullet"/>
      </w:pPr>
      <w:r>
        <w:t>Site Gamma (Europe): Throughput 36.3 kt (+1.4% vs plan). Yield 23.1% — best in group. Holds dual ISO 14001 + ISCC certification.</w:t>
      </w:r>
    </w:p>
    <w:p>
      <w:pPr>
        <w:pStyle w:val="ListBullet"/>
      </w:pPr>
      <w:r>
        <w:t>Site Delta (Asia-Pacific): Throughput 60.7 kt (+5.2% vs plan). Strong demand pull from regional manufacturing customers. EBITDA USD 12.4M.</w:t>
      </w:r>
    </w:p>
    <w:p>
      <w:pPr>
        <w:pStyle w:val="ListBullet"/>
      </w:pPr>
      <w:r>
        <w:t>Site Epsilon (Asia-Pacific): Throughput 28.3 kt (-6.1% vs plan). Two unplanned shutdowns (feedstock-quality issue, then planned-but-extended maintenance). Recovery plan: A&amp;B feedstock blending trial begins April; targeted Q2 throughput recovery to plan level.</w:t>
      </w:r>
    </w:p>
    <w:p>
      <w:r>
        <w:rPr>
          <w:b/>
          <w:color w:val="1F4E79"/>
          <w:sz w:val="28"/>
        </w:rPr>
        <w:t>3. Manufacturing &amp; Specialty Chemicals</w:t>
      </w:r>
    </w:p>
    <w:p>
      <w:r>
        <w:t>Specialty Chemicals delivered Q1 revenue of USD 138.4M (+5.7% vs plan), benefiting from firm pricing in coatings and lubricant additives. EBITDA margin 16.8%, up 0.6pp sequentially. Detroit Phase-3 expansion remains on schedule for FY27 commissioning; Q1 capex spend USD 28.4M against budget USD 31.2M.</w:t>
      </w:r>
    </w:p>
    <w:p>
      <w:pPr>
        <w:pStyle w:val="ListBullet"/>
      </w:pPr>
      <w:r>
        <w:t>Detroit Plant: 73.6 kt produced. OEE 91.3%. Phase-3 capex on schedule (62% complete).</w:t>
      </w:r>
    </w:p>
    <w:p>
      <w:pPr>
        <w:pStyle w:val="ListBullet"/>
      </w:pPr>
      <w:r>
        <w:t>Pittsburgh Plant: 58.2 kt produced. OEE 88.7%. Polymer additive launch delivered USD 4.2M of incremental Q1 revenue.</w:t>
      </w:r>
    </w:p>
    <w:p>
      <w:pPr>
        <w:pStyle w:val="ListBullet"/>
      </w:pPr>
      <w:r>
        <w:t>Düsseldorf Plant: 33.9 kt produced. OEE 92.1% — sector-leading. CBAM readiness assessment closed Q1 with zero gaps.</w:t>
      </w:r>
    </w:p>
    <w:p>
      <w:r>
        <w:rPr>
          <w:b/>
          <w:color w:val="1F4E79"/>
          <w:sz w:val="28"/>
        </w:rPr>
        <w:t>4. Property — Contoso Land</w:t>
      </w:r>
    </w:p>
    <w:p>
      <w:r>
        <w:t>Contoso Land Q1 revenue USD 41.2M (+1.1% vs plan). Riverside Phase 3 (mixed-use, 38 acres, residential + retail) launch slipped from 18 March to 30 March owing to a final permitting clarification with the city. Sales conversion at preview event: 41% of allocated units (target 35%). Pre-bookings cover 62% of Phase 3 inventory.</w:t>
      </w:r>
    </w:p>
    <w:p>
      <w:pPr>
        <w:pStyle w:val="ListBullet"/>
      </w:pPr>
      <w:r>
        <w:t>Land bank: 1,840 active acres (no change vs Q4 FY25).</w:t>
      </w:r>
    </w:p>
    <w:p>
      <w:pPr>
        <w:pStyle w:val="ListBullet"/>
      </w:pPr>
      <w:r>
        <w:t>Unbilled sales: USD 312M (covers 14 months of recognised revenue at current run rate).</w:t>
      </w:r>
    </w:p>
    <w:p>
      <w:pPr>
        <w:pStyle w:val="ListBullet"/>
      </w:pPr>
      <w:r>
        <w:t>Riverside Phase 3 Investment Memorandum and Tech DD pack issued to capital partners (covered in Runbook UC3).</w:t>
      </w:r>
    </w:p>
    <w:p>
      <w:r>
        <w:rPr>
          <w:b/>
          <w:color w:val="1F4E79"/>
          <w:sz w:val="28"/>
        </w:rPr>
        <w:t>5. Group Sustainability &amp; Risk</w:t>
      </w:r>
    </w:p>
    <w:p>
      <w:r>
        <w:t>Group Scope 1+2 emissions for Q1 closed at 89.4 ktCO2e (intensity 0.381 tCO2e per tonne output — up 1.8% vs FY25 baseline of 0.374). Driver: one-off diesel-genset run at Site Beta and weather-related haulage spike at Site Delta. Scope 3 estimated at 103.4 ktCO2e (-0.7% vs FY25). CBAM and CDP submissions for FY25 reporting cycle are on track for May filing.</w:t>
      </w:r>
    </w:p>
    <w:p>
      <w:r>
        <w:t>Top enterprise risks (RAG):</w:t>
      </w:r>
    </w:p>
    <w:p>
      <w:pPr>
        <w:pStyle w:val="ListBullet"/>
      </w:pPr>
      <w:r>
        <w:t>🟢 Liquidity / refinancing — USD 480M revolving facility renewed Feb 2026 at +25 bps.</w:t>
      </w:r>
    </w:p>
    <w:p>
      <w:pPr>
        <w:pStyle w:val="ListBullet"/>
      </w:pPr>
      <w:r>
        <w:t>🟡 Site Epsilon throughput recovery — recovery plan in execution; risk of Q2 plan miss.</w:t>
      </w:r>
    </w:p>
    <w:p>
      <w:pPr>
        <w:pStyle w:val="ListBullet"/>
      </w:pPr>
      <w:r>
        <w:t>🟡 CBAM scope expansion — preparing FY27 product-coverage list with Group Tax.</w:t>
      </w:r>
    </w:p>
    <w:p>
      <w:pPr>
        <w:pStyle w:val="ListBullet"/>
      </w:pPr>
      <w:r>
        <w:t>🔴 Cyber — three suspicious-login events at Pittsburgh in March; SOC under remediation.</w:t>
      </w:r>
    </w:p>
    <w:p>
      <w:r>
        <w:rPr>
          <w:b/>
          <w:color w:val="1F4E79"/>
          <w:sz w:val="28"/>
        </w:rPr>
        <w:t>6. Action Items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 ID</w:t>
            </w:r>
          </w:p>
        </w:tc>
        <w:tc>
          <w:tcPr>
            <w:tcW w:type="dxa" w:w="2160"/>
          </w:tcPr>
          <w:p>
            <w:r>
              <w:t>Action</w:t>
            </w:r>
          </w:p>
        </w:tc>
        <w:tc>
          <w:tcPr>
            <w:tcW w:type="dxa" w:w="2160"/>
          </w:tcPr>
          <w:p>
            <w:r>
              <w:t>Owner</w:t>
            </w:r>
          </w:p>
        </w:tc>
        <w:tc>
          <w:tcPr>
            <w:tcW w:type="dxa" w:w="2160"/>
          </w:tcPr>
          <w:p>
            <w:r>
              <w:t>Due</w:t>
            </w:r>
          </w:p>
        </w:tc>
      </w:tr>
      <w:tr>
        <w:tc>
          <w:tcPr>
            <w:tcW w:type="dxa" w:w="2160"/>
          </w:tcPr>
          <w:p>
            <w:r>
              <w:t>OPS-26-031</w:t>
            </w:r>
          </w:p>
        </w:tc>
        <w:tc>
          <w:tcPr>
            <w:tcW w:type="dxa" w:w="2160"/>
          </w:tcPr>
          <w:p>
            <w:r>
              <w:t>Finalise Site Epsilon recovery plan</w:t>
            </w:r>
          </w:p>
        </w:tc>
        <w:tc>
          <w:tcPr>
            <w:tcW w:type="dxa" w:w="2160"/>
          </w:tcPr>
          <w:p>
            <w:r>
              <w:t>COO Industrial</w:t>
            </w:r>
          </w:p>
        </w:tc>
        <w:tc>
          <w:tcPr>
            <w:tcW w:type="dxa" w:w="2160"/>
          </w:tcPr>
          <w:p>
            <w:r>
              <w:t>30 Apr 2026</w:t>
            </w:r>
          </w:p>
        </w:tc>
      </w:tr>
      <w:tr>
        <w:tc>
          <w:tcPr>
            <w:tcW w:type="dxa" w:w="2160"/>
          </w:tcPr>
          <w:p>
            <w:r>
              <w:t>OPS-26-032</w:t>
            </w:r>
          </w:p>
        </w:tc>
        <w:tc>
          <w:tcPr>
            <w:tcW w:type="dxa" w:w="2160"/>
          </w:tcPr>
          <w:p>
            <w:r>
              <w:t>Investigate Site Beta diesel-genset run vs grid SLA</w:t>
            </w:r>
          </w:p>
        </w:tc>
        <w:tc>
          <w:tcPr>
            <w:tcW w:type="dxa" w:w="2160"/>
          </w:tcPr>
          <w:p>
            <w:r>
              <w:t>Site Beta GM</w:t>
            </w:r>
          </w:p>
        </w:tc>
        <w:tc>
          <w:tcPr>
            <w:tcW w:type="dxa" w:w="2160"/>
          </w:tcPr>
          <w:p>
            <w:r>
              <w:t>15 Apr 2026</w:t>
            </w:r>
          </w:p>
        </w:tc>
      </w:tr>
      <w:tr>
        <w:tc>
          <w:tcPr>
            <w:tcW w:type="dxa" w:w="2160"/>
          </w:tcPr>
          <w:p>
            <w:r>
              <w:t>PROP-26-014</w:t>
            </w:r>
          </w:p>
        </w:tc>
        <w:tc>
          <w:tcPr>
            <w:tcW w:type="dxa" w:w="2160"/>
          </w:tcPr>
          <w:p>
            <w:r>
              <w:t>Close Riverside Phase 3 permitting clarifications</w:t>
            </w:r>
          </w:p>
        </w:tc>
        <w:tc>
          <w:tcPr>
            <w:tcW w:type="dxa" w:w="2160"/>
          </w:tcPr>
          <w:p>
            <w:r>
              <w:t>Property COO</w:t>
            </w:r>
          </w:p>
        </w:tc>
        <w:tc>
          <w:tcPr>
            <w:tcW w:type="dxa" w:w="2160"/>
          </w:tcPr>
          <w:p>
            <w:r>
              <w:t>07 Apr 2026</w:t>
            </w:r>
          </w:p>
        </w:tc>
      </w:tr>
      <w:tr>
        <w:tc>
          <w:tcPr>
            <w:tcW w:type="dxa" w:w="2160"/>
          </w:tcPr>
          <w:p>
            <w:r>
              <w:t>SUS-26-009</w:t>
            </w:r>
          </w:p>
        </w:tc>
        <w:tc>
          <w:tcPr>
            <w:tcW w:type="dxa" w:w="2160"/>
          </w:tcPr>
          <w:p>
            <w:r>
              <w:t>Validate Q1 emissions intensity uplift against FY25 base</w:t>
            </w:r>
          </w:p>
        </w:tc>
        <w:tc>
          <w:tcPr>
            <w:tcW w:type="dxa" w:w="2160"/>
          </w:tcPr>
          <w:p>
            <w:r>
              <w:t>Group Sustainability</w:t>
            </w:r>
          </w:p>
        </w:tc>
        <w:tc>
          <w:tcPr>
            <w:tcW w:type="dxa" w:w="2160"/>
          </w:tcPr>
          <w:p>
            <w:r>
              <w:t>30 Apr 2026</w:t>
            </w:r>
          </w:p>
        </w:tc>
      </w:tr>
      <w:tr>
        <w:tc>
          <w:tcPr>
            <w:tcW w:type="dxa" w:w="2160"/>
          </w:tcPr>
          <w:p>
            <w:r>
              <w:t>CYBER-26-005</w:t>
            </w:r>
          </w:p>
        </w:tc>
        <w:tc>
          <w:tcPr>
            <w:tcW w:type="dxa" w:w="2160"/>
          </w:tcPr>
          <w:p>
            <w:r>
              <w:t>Complete Pittsburgh SOC remediation and 30-day monitoring</w:t>
            </w:r>
          </w:p>
        </w:tc>
        <w:tc>
          <w:tcPr>
            <w:tcW w:type="dxa" w:w="2160"/>
          </w:tcPr>
          <w:p>
            <w:r>
              <w:t>CISO</w:t>
            </w:r>
          </w:p>
        </w:tc>
        <w:tc>
          <w:tcPr>
            <w:tcW w:type="dxa" w:w="2160"/>
          </w:tcPr>
          <w:p>
            <w:r>
              <w:t>30 Apr 2026</w:t>
            </w:r>
          </w:p>
        </w:tc>
      </w:tr>
      <w:tr>
        <w:tc>
          <w:tcPr>
            <w:tcW w:type="dxa" w:w="2160"/>
          </w:tcPr>
          <w:p>
            <w:r>
              <w:t>FIN-26-022</w:t>
            </w:r>
          </w:p>
        </w:tc>
        <w:tc>
          <w:tcPr>
            <w:tcW w:type="dxa" w:w="2160"/>
          </w:tcPr>
          <w:p>
            <w:r>
              <w:t>Prepare draft NYSE Q1 filing pack for Audit Committee</w:t>
            </w:r>
          </w:p>
        </w:tc>
        <w:tc>
          <w:tcPr>
            <w:tcW w:type="dxa" w:w="2160"/>
          </w:tcPr>
          <w:p>
            <w:r>
              <w:t>Group Controller</w:t>
            </w:r>
          </w:p>
        </w:tc>
        <w:tc>
          <w:tcPr>
            <w:tcW w:type="dxa" w:w="2160"/>
          </w:tcPr>
          <w:p>
            <w:r>
              <w:t>20 Apr 2026</w:t>
            </w:r>
          </w:p>
        </w:tc>
      </w:tr>
    </w:tbl>
    <w:p>
      <w:r>
        <w:br w:type="page"/>
      </w:r>
    </w:p>
    <w:p>
      <w:r>
        <w:rPr>
          <w:b/>
          <w:color w:val="1F4E79"/>
          <w:sz w:val="28"/>
        </w:rPr>
        <w:t>7. Group Operations Council — 2 April 2026 — Transcript Excerpt</w:t>
      </w:r>
    </w:p>
    <w:p>
      <w:r>
        <w:t>Attendees: Siew Ling (COO), Marcus Chen (CFO), David Patel (Group Sustainability), Aisha Rahman (Property COO), Tom Becker (CISO).</w:t>
      </w:r>
    </w:p>
    <w:p>
      <w:r>
        <w:t>Format: lightly edited, timestamps in [HH:MM].</w:t>
      </w:r>
    </w:p>
    <w:p>
      <w:r>
        <w:rPr>
          <w:color w:val="808080"/>
          <w:sz w:val="18"/>
        </w:rPr>
        <w:t xml:space="preserve">[09:02]  </w:t>
      </w:r>
      <w:r>
        <w:rPr>
          <w:b/>
        </w:rPr>
        <w:t xml:space="preserve">Siew Ling: </w:t>
      </w:r>
      <w:r>
        <w:t>Let's start with Industrial. Where are we ending Q1?</w:t>
      </w:r>
    </w:p>
    <w:p>
      <w:r>
        <w:rPr>
          <w:color w:val="808080"/>
          <w:sz w:val="18"/>
        </w:rPr>
        <w:t xml:space="preserve">[09:03]  </w:t>
      </w:r>
      <w:r>
        <w:rPr>
          <w:b/>
        </w:rPr>
        <w:t xml:space="preserve">Marcus Chen: </w:t>
      </w:r>
      <w:r>
        <w:t>Group revenue 297.6M, plus 4.2 against plan. EBITDA 46.1M. The standout is Delta — APAC pull stronger than we modelled.</w:t>
      </w:r>
    </w:p>
    <w:p>
      <w:r>
        <w:rPr>
          <w:color w:val="808080"/>
          <w:sz w:val="18"/>
        </w:rPr>
        <w:t xml:space="preserve">[09:05]  </w:t>
      </w:r>
      <w:r>
        <w:rPr>
          <w:b/>
        </w:rPr>
        <w:t xml:space="preserve">Siew Ling: </w:t>
      </w:r>
      <w:r>
        <w:t>Good. Epsilon?</w:t>
      </w:r>
    </w:p>
    <w:p>
      <w:r>
        <w:rPr>
          <w:color w:val="808080"/>
          <w:sz w:val="18"/>
        </w:rPr>
        <w:t xml:space="preserve">[09:05]  </w:t>
      </w:r>
      <w:r>
        <w:rPr>
          <w:b/>
        </w:rPr>
        <w:t xml:space="preserve">Marcus Chen: </w:t>
      </w:r>
      <w:r>
        <w:t>Below plan on both throughput and EBITDA. Two unplanned shutdowns. Recovery plan locked next week.</w:t>
      </w:r>
    </w:p>
    <w:p>
      <w:r>
        <w:rPr>
          <w:color w:val="808080"/>
          <w:sz w:val="18"/>
        </w:rPr>
        <w:t xml:space="preserve">[09:07]  </w:t>
      </w:r>
      <w:r>
        <w:rPr>
          <w:b/>
        </w:rPr>
        <w:t xml:space="preserve">Siew Ling: </w:t>
      </w:r>
      <w:r>
        <w:t>I want a Board-ready memo on Epsilon by end of April. David, sustainability?</w:t>
      </w:r>
    </w:p>
    <w:p>
      <w:r>
        <w:rPr>
          <w:color w:val="808080"/>
          <w:sz w:val="18"/>
        </w:rPr>
        <w:t xml:space="preserve">[09:08]  </w:t>
      </w:r>
      <w:r>
        <w:rPr>
          <w:b/>
        </w:rPr>
        <w:t xml:space="preserve">David Patel: </w:t>
      </w:r>
      <w:r>
        <w:t>Q1 intensity ticked up 1.8 percent. Two drivers — one-off diesel run at Beta during the grid outage, and the haulage spike at Delta. Both mechanically explained, but we need to validate the maths against FY25 base before we go to CDP.</w:t>
      </w:r>
    </w:p>
    <w:p>
      <w:r>
        <w:rPr>
          <w:color w:val="808080"/>
          <w:sz w:val="18"/>
        </w:rPr>
        <w:t xml:space="preserve">[09:10]  </w:t>
      </w:r>
      <w:r>
        <w:rPr>
          <w:b/>
        </w:rPr>
        <w:t xml:space="preserve">Siew Ling: </w:t>
      </w:r>
      <w:r>
        <w:t>Validate by 30 April. Aisha — Riverside?</w:t>
      </w:r>
    </w:p>
    <w:p>
      <w:r>
        <w:rPr>
          <w:color w:val="808080"/>
          <w:sz w:val="18"/>
        </w:rPr>
        <w:t xml:space="preserve">[09:11]  </w:t>
      </w:r>
      <w:r>
        <w:rPr>
          <w:b/>
        </w:rPr>
        <w:t xml:space="preserve">Aisha Rahman: </w:t>
      </w:r>
      <w:r>
        <w:t>Phase 3 launch slipped 12 days. Permitting clarification. Pre-bookings 62 percent of inventory. We're fine commercially but we missed our launch window.</w:t>
      </w:r>
    </w:p>
    <w:p>
      <w:r>
        <w:rPr>
          <w:color w:val="808080"/>
          <w:sz w:val="18"/>
        </w:rPr>
        <w:t xml:space="preserve">[09:13]  </w:t>
      </w:r>
      <w:r>
        <w:rPr>
          <w:b/>
        </w:rPr>
        <w:t xml:space="preserve">Siew Ling: </w:t>
      </w:r>
      <w:r>
        <w:t>Tom — cyber?</w:t>
      </w:r>
    </w:p>
    <w:p>
      <w:r>
        <w:rPr>
          <w:color w:val="808080"/>
          <w:sz w:val="18"/>
        </w:rPr>
        <w:t xml:space="preserve">[09:14]  </w:t>
      </w:r>
      <w:r>
        <w:rPr>
          <w:b/>
        </w:rPr>
        <w:t xml:space="preserve">Tom Becker: </w:t>
      </w:r>
      <w:r>
        <w:t>Three suspicious-login events at Pittsburgh in March. SOC is on it. Targeting full remediation and 30-day monitoring close-out by end of April.</w:t>
      </w:r>
    </w:p>
    <w:p>
      <w:r>
        <w:rPr>
          <w:color w:val="808080"/>
          <w:sz w:val="18"/>
        </w:rPr>
        <w:t xml:space="preserve">[09:16]  </w:t>
      </w:r>
      <w:r>
        <w:rPr>
          <w:b/>
        </w:rPr>
        <w:t xml:space="preserve">Siew Ling: </w:t>
      </w:r>
      <w:r>
        <w:t>OK. I want this out as a package — exec summary, the segment view, sustainability ask, action list. Marcus, get me a draft by Wednesday.</w:t>
      </w:r>
    </w:p>
    <w:p>
      <w:r>
        <w:rPr>
          <w:color w:val="808080"/>
          <w:sz w:val="18"/>
        </w:rPr>
        <w:t xml:space="preserve">[09:17]  </w:t>
      </w:r>
      <w:r>
        <w:rPr>
          <w:b/>
        </w:rPr>
        <w:t xml:space="preserve">Marcus Chen: </w:t>
      </w:r>
      <w:r>
        <w:t>Will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