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532D"/>
          <w:sz w:val="20"/>
        </w:rPr>
        <w:t>PT PALMARAYA NUSANTARA Tbk</w:t>
      </w:r>
    </w:p>
    <w:p>
      <w:r>
        <w:rPr>
          <w:b/>
          <w:color w:val="14532D"/>
          <w:sz w:val="36"/>
        </w:rPr>
        <w:t>SOP Panen dan Penilaian Mutu Hancak</w:t>
      </w:r>
    </w:p>
    <w:p>
      <w:r>
        <w:rPr>
          <w:i/>
          <w:sz w:val="21"/>
        </w:rPr>
        <w:t>Nomor dokumen SOP-AGR-014 · Revisi 4 · Berlaku 1 Januari 2026 · Divisi Agronomi &amp; SQA</w:t>
      </w:r>
    </w:p>
    <w:p>
      <w:r>
        <w:rPr>
          <w:sz w:val="16"/>
        </w:rPr>
        <w:t>Dokumen fiktif untuk keperluan pelatihan. Bukan dokumen operasional.</w:t>
      </w:r>
    </w:p>
    <w:p>
      <w:r>
        <w:rPr>
          <w:b/>
          <w:color w:val="14532D"/>
          <w:sz w:val="27"/>
        </w:rPr>
        <w:t>1. Tujuan dan Ruang Lingkup</w:t>
      </w:r>
    </w:p>
    <w:p>
      <w:r>
        <w:t>SOP ini mengatur pelaksanaan panen tandan buah segar (TBS) dan penilaian mutu hancak di seluruh estate PT Palmaraya Nusantara Tbk, baik kebun inti maupun plasma. Tujuannya menjaga losses panen di bawah 1,5 persen terhadap produksi dan memastikan TBS yang dikirim ke pabrik memenuhi kriteria matang panen sehingga rendemen (OER) perusahaan dapat dipertahankan pada 23,2 persen.</w:t>
      </w:r>
    </w:p>
    <w:p>
      <w:r>
        <w:rPr>
          <w:b/>
          <w:color w:val="14532D"/>
          <w:sz w:val="27"/>
        </w:rPr>
        <w:t>2. Kriteria Matang Panen</w:t>
      </w:r>
    </w:p>
    <w:p>
      <w:pPr>
        <w:pStyle w:val="ListBullet"/>
      </w:pPr>
      <w:r>
        <w:t>Janjang dinyatakan siap panen apabila terdapat minimal 2 brondolan lepas secara alami di piringan untuk tanaman umur di bawah 10 tahun, dan minimal 5 brondolan untuk tanaman umur 10 tahun ke atas.</w:t>
      </w:r>
    </w:p>
    <w:p>
      <w:pPr>
        <w:pStyle w:val="ListBullet"/>
      </w:pPr>
      <w:r>
        <w:t>Janjang mentah (fraksi 0) dilarang dipanen. Toleransi janjang mentah pada pengiriman ke pabrik adalah maksimal 3 persen dari total janjang per truk.</w:t>
      </w:r>
    </w:p>
    <w:p>
      <w:pPr>
        <w:pStyle w:val="ListBullet"/>
      </w:pPr>
      <w:r>
        <w:t>Janjang lewat matang (fraksi 4 dan 5) maksimal 5 persen. Di atas angka tersebut ALB minyak akan naik dan dikenakan penalti mutu.</w:t>
      </w:r>
    </w:p>
    <w:p>
      <w:pPr>
        <w:pStyle w:val="ListBullet"/>
      </w:pPr>
      <w:r>
        <w:t>Rotasi panen ditetapkan 6 hari. Rotasi di atas 8 hari wajib dilaporkan ke Asisten Kepala pada hari yang sama.</w:t>
      </w:r>
    </w:p>
    <w:p>
      <w:r>
        <w:rPr>
          <w:b/>
          <w:color w:val="14532D"/>
          <w:sz w:val="27"/>
        </w:rPr>
        <w:t>3. Standar Losses Panen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Parameter</w:t>
            </w:r>
          </w:p>
        </w:tc>
        <w:tc>
          <w:tcPr>
            <w:tcW w:type="dxa" w:w="2160"/>
          </w:tcPr>
          <w:p>
            <w:r>
              <w:rPr>
                <w:b/>
                <w:sz w:val="19"/>
              </w:rPr>
              <w:t>Standar</w:t>
            </w:r>
          </w:p>
        </w:tc>
        <w:tc>
          <w:tcPr>
            <w:tcW w:type="dxa" w:w="2160"/>
          </w:tcPr>
          <w:p>
            <w:r>
              <w:rPr>
                <w:b/>
                <w:sz w:val="19"/>
              </w:rPr>
              <w:t>Ambang perhatian</w:t>
            </w:r>
          </w:p>
        </w:tc>
        <w:tc>
          <w:tcPr>
            <w:tcW w:type="dxa" w:w="2160"/>
          </w:tcPr>
          <w:p>
            <w:r>
              <w:rPr>
                <w:b/>
                <w:sz w:val="19"/>
              </w:rPr>
              <w:t>Ambang kritis</w:t>
            </w:r>
          </w:p>
        </w:tc>
      </w:tr>
      <w:tr>
        <w:tc>
          <w:tcPr>
            <w:tcW w:type="dxa" w:w="2160"/>
          </w:tcPr>
          <w:p>
            <w:r>
              <w:rPr>
                <w:sz w:val="19"/>
              </w:rPr>
              <w:t>Brondolan tidak terkutip</w:t>
            </w:r>
          </w:p>
        </w:tc>
        <w:tc>
          <w:tcPr>
            <w:tcW w:type="dxa" w:w="2160"/>
          </w:tcPr>
          <w:p>
            <w:r>
              <w:rPr>
                <w:sz w:val="19"/>
              </w:rPr>
              <w:t>Maksimal 2,0 butir per pokok</w:t>
            </w:r>
          </w:p>
        </w:tc>
        <w:tc>
          <w:tcPr>
            <w:tcW w:type="dxa" w:w="2160"/>
          </w:tcPr>
          <w:p>
            <w:r>
              <w:rPr>
                <w:sz w:val="19"/>
              </w:rPr>
              <w:t>Di atas 3,0 butir per pokok</w:t>
            </w:r>
          </w:p>
        </w:tc>
        <w:tc>
          <w:tcPr>
            <w:tcW w:type="dxa" w:w="2160"/>
          </w:tcPr>
          <w:p>
            <w:r>
              <w:rPr>
                <w:sz w:val="19"/>
              </w:rPr>
              <w:t>Di atas 5,0 butir per pokok</w:t>
            </w:r>
          </w:p>
        </w:tc>
      </w:tr>
      <w:tr>
        <w:tc>
          <w:tcPr>
            <w:tcW w:type="dxa" w:w="2160"/>
          </w:tcPr>
          <w:p>
            <w:r>
              <w:rPr>
                <w:sz w:val="19"/>
              </w:rPr>
              <w:t>Janjang matang tidak dipanen</w:t>
            </w:r>
          </w:p>
        </w:tc>
        <w:tc>
          <w:tcPr>
            <w:tcW w:type="dxa" w:w="2160"/>
          </w:tcPr>
          <w:p>
            <w:r>
              <w:rPr>
                <w:sz w:val="19"/>
              </w:rPr>
              <w:t>0 janjang per hektar</w:t>
            </w:r>
          </w:p>
        </w:tc>
        <w:tc>
          <w:tcPr>
            <w:tcW w:type="dxa" w:w="2160"/>
          </w:tcPr>
          <w:p>
            <w:r>
              <w:rPr>
                <w:sz w:val="19"/>
              </w:rPr>
              <w:t>Di atas 0,5 janjang per hektar</w:t>
            </w:r>
          </w:p>
        </w:tc>
        <w:tc>
          <w:tcPr>
            <w:tcW w:type="dxa" w:w="2160"/>
          </w:tcPr>
          <w:p>
            <w:r>
              <w:rPr>
                <w:sz w:val="19"/>
              </w:rPr>
              <w:t>Di atas 1,0 janjang per hektar</w:t>
            </w:r>
          </w:p>
        </w:tc>
      </w:tr>
      <w:tr>
        <w:tc>
          <w:tcPr>
            <w:tcW w:type="dxa" w:w="2160"/>
          </w:tcPr>
          <w:p>
            <w:r>
              <w:rPr>
                <w:sz w:val="19"/>
              </w:rPr>
              <w:t>Janjang tertinggal di TPH</w:t>
            </w:r>
          </w:p>
        </w:tc>
        <w:tc>
          <w:tcPr>
            <w:tcW w:type="dxa" w:w="2160"/>
          </w:tcPr>
          <w:p>
            <w:r>
              <w:rPr>
                <w:sz w:val="19"/>
              </w:rPr>
              <w:t>0 janjang</w:t>
            </w:r>
          </w:p>
        </w:tc>
        <w:tc>
          <w:tcPr>
            <w:tcW w:type="dxa" w:w="2160"/>
          </w:tcPr>
          <w:p>
            <w:r>
              <w:rPr>
                <w:sz w:val="19"/>
              </w:rPr>
              <w:t>Di atas 0,3 janjang per hektar</w:t>
            </w:r>
          </w:p>
        </w:tc>
        <w:tc>
          <w:tcPr>
            <w:tcW w:type="dxa" w:w="2160"/>
          </w:tcPr>
          <w:p>
            <w:r>
              <w:rPr>
                <w:sz w:val="19"/>
              </w:rPr>
              <w:t>Di atas 0,8 janjang per hektar</w:t>
            </w:r>
          </w:p>
        </w:tc>
      </w:tr>
      <w:tr>
        <w:tc>
          <w:tcPr>
            <w:tcW w:type="dxa" w:w="2160"/>
          </w:tcPr>
          <w:p>
            <w:r>
              <w:rPr>
                <w:sz w:val="19"/>
              </w:rPr>
              <w:t>Restan janjang di lapangan</w:t>
            </w:r>
          </w:p>
        </w:tc>
        <w:tc>
          <w:tcPr>
            <w:tcW w:type="dxa" w:w="2160"/>
          </w:tcPr>
          <w:p>
            <w:r>
              <w:rPr>
                <w:sz w:val="19"/>
              </w:rPr>
              <w:t>Maksimal 24 jam</w:t>
            </w:r>
          </w:p>
        </w:tc>
        <w:tc>
          <w:tcPr>
            <w:tcW w:type="dxa" w:w="2160"/>
          </w:tcPr>
          <w:p>
            <w:r>
              <w:rPr>
                <w:sz w:val="19"/>
              </w:rPr>
              <w:t>Di atas 24 jam</w:t>
            </w:r>
          </w:p>
        </w:tc>
        <w:tc>
          <w:tcPr>
            <w:tcW w:type="dxa" w:w="2160"/>
          </w:tcPr>
          <w:p>
            <w:r>
              <w:rPr>
                <w:sz w:val="19"/>
              </w:rPr>
              <w:t>Di atas 48 jam</w:t>
            </w:r>
          </w:p>
        </w:tc>
      </w:tr>
      <w:tr>
        <w:tc>
          <w:tcPr>
            <w:tcW w:type="dxa" w:w="2160"/>
          </w:tcPr>
          <w:p>
            <w:r>
              <w:rPr>
                <w:sz w:val="19"/>
              </w:rPr>
              <w:t>Rasio hancak</w:t>
            </w:r>
          </w:p>
        </w:tc>
        <w:tc>
          <w:tcPr>
            <w:tcW w:type="dxa" w:w="2160"/>
          </w:tcPr>
          <w:p>
            <w:r>
              <w:rPr>
                <w:sz w:val="19"/>
              </w:rPr>
              <w:t>Maksimal 12 hektar per pemanen</w:t>
            </w:r>
          </w:p>
        </w:tc>
        <w:tc>
          <w:tcPr>
            <w:tcW w:type="dxa" w:w="2160"/>
          </w:tcPr>
          <w:p>
            <w:r>
              <w:rPr>
                <w:sz w:val="19"/>
              </w:rPr>
              <w:t>Di atas 14 hektar per pemanen</w:t>
            </w:r>
          </w:p>
        </w:tc>
        <w:tc>
          <w:tcPr>
            <w:tcW w:type="dxa" w:w="2160"/>
          </w:tcPr>
          <w:p>
            <w:r>
              <w:rPr>
                <w:sz w:val="19"/>
              </w:rPr>
              <w:t>Di atas 16 hektar per pemanen</w:t>
            </w:r>
          </w:p>
        </w:tc>
      </w:tr>
      <w:tr>
        <w:tc>
          <w:tcPr>
            <w:tcW w:type="dxa" w:w="2160"/>
          </w:tcPr>
          <w:p>
            <w:r>
              <w:rPr>
                <w:sz w:val="19"/>
              </w:rPr>
              <w:t>Total losses panen</w:t>
            </w:r>
          </w:p>
        </w:tc>
        <w:tc>
          <w:tcPr>
            <w:tcW w:type="dxa" w:w="2160"/>
          </w:tcPr>
          <w:p>
            <w:r>
              <w:rPr>
                <w:sz w:val="19"/>
              </w:rPr>
              <w:t>Maksimal 1,5 persen terhadap produksi</w:t>
            </w:r>
          </w:p>
        </w:tc>
        <w:tc>
          <w:tcPr>
            <w:tcW w:type="dxa" w:w="2160"/>
          </w:tcPr>
          <w:p>
            <w:r>
              <w:rPr>
                <w:sz w:val="19"/>
              </w:rPr>
              <w:t>1,5 sampai 3,0 persen</w:t>
            </w:r>
          </w:p>
        </w:tc>
        <w:tc>
          <w:tcPr>
            <w:tcW w:type="dxa" w:w="2160"/>
          </w:tcPr>
          <w:p>
            <w:r>
              <w:rPr>
                <w:sz w:val="19"/>
              </w:rPr>
              <w:t>Di atas 3,0 persen</w:t>
            </w:r>
          </w:p>
        </w:tc>
      </w:tr>
    </w:tbl>
    <w:p>
      <w:r>
        <w:t>Setiap kenaikan losses panen sebesar 1 persen setara dengan kehilangan sekitar 0,22 ton CPO untuk setiap 100 ton TBS yang seharusnya dipanen. Nilai kerugian dihitung dengan harga CPO bulan berjalan.</w:t>
      </w:r>
    </w:p>
    <w:p>
      <w:r>
        <w:rPr>
          <w:b/>
          <w:color w:val="14532D"/>
          <w:sz w:val="27"/>
        </w:rPr>
        <w:t>4. Rasio Tenaga Panen</w:t>
      </w:r>
    </w:p>
    <w:p>
      <w:r>
        <w:t>Rasio hancak standar adalah 1 pemanen untuk 12 hektar areal tanaman menghasilkan. Rasio di atas 14 hektar per pemanen wajib diajukan penambahan tenaga kerja oleh Asisten Afdeling kepada Estate Manager paling lambat 7 hari sejak kondisi terjadi. Pemanen dengan masa kerja di bawah 6 bulan wajib mendapat pendampingan mandor minimal dua kali per minggu.</w:t>
      </w:r>
    </w:p>
    <w:p>
      <w:r>
        <w:rPr>
          <w:b/>
          <w:color w:val="14532D"/>
          <w:sz w:val="27"/>
        </w:rPr>
        <w:t>5. Penilaian Mutu Hancak</w:t>
      </w:r>
    </w:p>
    <w:p>
      <w:r>
        <w:t>Penilaian mutu hancak dilakukan oleh petugas SQA minimal 4 kali per bulan per afdeling dengan sampel minimal 6 pemanen per kunjungan. Penilaian menggunakan 10 parameter dengan total bobot 100 poin.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Parameter</w:t>
            </w:r>
          </w:p>
        </w:tc>
        <w:tc>
          <w:tcPr>
            <w:tcW w:type="dxa" w:w="2880"/>
          </w:tcPr>
          <w:p>
            <w:r>
              <w:rPr>
                <w:b/>
                <w:sz w:val="19"/>
              </w:rPr>
              <w:t>Bobot</w:t>
            </w:r>
          </w:p>
        </w:tc>
        <w:tc>
          <w:tcPr>
            <w:tcW w:type="dxa" w:w="2880"/>
          </w:tcPr>
          <w:p>
            <w:r>
              <w:rPr>
                <w:b/>
                <w:sz w:val="19"/>
              </w:rPr>
              <w:t>Definisi ringkas</w:t>
            </w:r>
          </w:p>
        </w:tc>
      </w:tr>
      <w:tr>
        <w:tc>
          <w:tcPr>
            <w:tcW w:type="dxa" w:w="2880"/>
          </w:tcPr>
          <w:p>
            <w:r>
              <w:rPr>
                <w:sz w:val="19"/>
              </w:rPr>
              <w:t>Brondolan tidak terkutip</w:t>
            </w:r>
          </w:p>
        </w:tc>
        <w:tc>
          <w:tcPr>
            <w:tcW w:type="dxa" w:w="2880"/>
          </w:tcPr>
          <w:p>
            <w:r>
              <w:rPr>
                <w:sz w:val="19"/>
              </w:rPr>
              <w:t>20</w:t>
            </w:r>
          </w:p>
        </w:tc>
        <w:tc>
          <w:tcPr>
            <w:tcW w:type="dxa" w:w="2880"/>
          </w:tcPr>
          <w:p>
            <w:r>
              <w:rPr>
                <w:sz w:val="19"/>
              </w:rPr>
              <w:t>Brondolan tertinggal di piringan, pasar pikul dan gawangan</w:t>
            </w:r>
          </w:p>
        </w:tc>
      </w:tr>
      <w:tr>
        <w:tc>
          <w:tcPr>
            <w:tcW w:type="dxa" w:w="2880"/>
          </w:tcPr>
          <w:p>
            <w:r>
              <w:rPr>
                <w:sz w:val="19"/>
              </w:rPr>
              <w:t>Buah matang tertinggal</w:t>
            </w:r>
          </w:p>
        </w:tc>
        <w:tc>
          <w:tcPr>
            <w:tcW w:type="dxa" w:w="2880"/>
          </w:tcPr>
          <w:p>
            <w:r>
              <w:rPr>
                <w:sz w:val="19"/>
              </w:rPr>
              <w:t>15</w:t>
            </w:r>
          </w:p>
        </w:tc>
        <w:tc>
          <w:tcPr>
            <w:tcW w:type="dxa" w:w="2880"/>
          </w:tcPr>
          <w:p>
            <w:r>
              <w:rPr>
                <w:sz w:val="19"/>
              </w:rPr>
              <w:t>Janjang matang masih menggantung di pokok</w:t>
            </w:r>
          </w:p>
        </w:tc>
      </w:tr>
      <w:tr>
        <w:tc>
          <w:tcPr>
            <w:tcW w:type="dxa" w:w="2880"/>
          </w:tcPr>
          <w:p>
            <w:r>
              <w:rPr>
                <w:sz w:val="19"/>
              </w:rPr>
              <w:t>Buah mentah dipanen</w:t>
            </w:r>
          </w:p>
        </w:tc>
        <w:tc>
          <w:tcPr>
            <w:tcW w:type="dxa" w:w="2880"/>
          </w:tcPr>
          <w:p>
            <w:r>
              <w:rPr>
                <w:sz w:val="19"/>
              </w:rPr>
              <w:t>10</w:t>
            </w:r>
          </w:p>
        </w:tc>
        <w:tc>
          <w:tcPr>
            <w:tcW w:type="dxa" w:w="2880"/>
          </w:tcPr>
          <w:p>
            <w:r>
              <w:rPr>
                <w:sz w:val="19"/>
              </w:rPr>
              <w:t>Janjang fraksi 0 ikut dipanen</w:t>
            </w:r>
          </w:p>
        </w:tc>
      </w:tr>
      <w:tr>
        <w:tc>
          <w:tcPr>
            <w:tcW w:type="dxa" w:w="2880"/>
          </w:tcPr>
          <w:p>
            <w:r>
              <w:rPr>
                <w:sz w:val="19"/>
              </w:rPr>
              <w:t>Mutu potong tangkai</w:t>
            </w:r>
          </w:p>
        </w:tc>
        <w:tc>
          <w:tcPr>
            <w:tcW w:type="dxa" w:w="2880"/>
          </w:tcPr>
          <w:p>
            <w:r>
              <w:rPr>
                <w:sz w:val="19"/>
              </w:rPr>
              <w:t>10</w:t>
            </w:r>
          </w:p>
        </w:tc>
        <w:tc>
          <w:tcPr>
            <w:tcW w:type="dxa" w:w="2880"/>
          </w:tcPr>
          <w:p>
            <w:r>
              <w:rPr>
                <w:sz w:val="19"/>
              </w:rPr>
              <w:t>Tangkai dipotong mepet, maksimal 2 cm (cangkem kodok)</w:t>
            </w:r>
          </w:p>
        </w:tc>
      </w:tr>
      <w:tr>
        <w:tc>
          <w:tcPr>
            <w:tcW w:type="dxa" w:w="2880"/>
          </w:tcPr>
          <w:p>
            <w:r>
              <w:rPr>
                <w:sz w:val="19"/>
              </w:rPr>
              <w:t>Pelepah sengkleh</w:t>
            </w:r>
          </w:p>
        </w:tc>
        <w:tc>
          <w:tcPr>
            <w:tcW w:type="dxa" w:w="2880"/>
          </w:tcPr>
          <w:p>
            <w:r>
              <w:rPr>
                <w:sz w:val="19"/>
              </w:rPr>
              <w:t>10</w:t>
            </w:r>
          </w:p>
        </w:tc>
        <w:tc>
          <w:tcPr>
            <w:tcW w:type="dxa" w:w="2880"/>
          </w:tcPr>
          <w:p>
            <w:r>
              <w:rPr>
                <w:sz w:val="19"/>
              </w:rPr>
              <w:t>Pelepah patah menggantung tidak dipotong</w:t>
            </w:r>
          </w:p>
        </w:tc>
      </w:tr>
      <w:tr>
        <w:tc>
          <w:tcPr>
            <w:tcW w:type="dxa" w:w="2880"/>
          </w:tcPr>
          <w:p>
            <w:r>
              <w:rPr>
                <w:sz w:val="19"/>
              </w:rPr>
              <w:t>Susunan pelepah</w:t>
            </w:r>
          </w:p>
        </w:tc>
        <w:tc>
          <w:tcPr>
            <w:tcW w:type="dxa" w:w="2880"/>
          </w:tcPr>
          <w:p>
            <w:r>
              <w:rPr>
                <w:sz w:val="19"/>
              </w:rPr>
              <w:t>10</w:t>
            </w:r>
          </w:p>
        </w:tc>
        <w:tc>
          <w:tcPr>
            <w:tcW w:type="dxa" w:w="2880"/>
          </w:tcPr>
          <w:p>
            <w:r>
              <w:rPr>
                <w:sz w:val="19"/>
              </w:rPr>
              <w:t>Pelepah disusun rapi di gawangan mati</w:t>
            </w:r>
          </w:p>
        </w:tc>
      </w:tr>
      <w:tr>
        <w:tc>
          <w:tcPr>
            <w:tcW w:type="dxa" w:w="2880"/>
          </w:tcPr>
          <w:p>
            <w:r>
              <w:rPr>
                <w:sz w:val="19"/>
              </w:rPr>
              <w:t>Piringan bersih</w:t>
            </w:r>
          </w:p>
        </w:tc>
        <w:tc>
          <w:tcPr>
            <w:tcW w:type="dxa" w:w="2880"/>
          </w:tcPr>
          <w:p>
            <w:r>
              <w:rPr>
                <w:sz w:val="19"/>
              </w:rPr>
              <w:t>10</w:t>
            </w:r>
          </w:p>
        </w:tc>
        <w:tc>
          <w:tcPr>
            <w:tcW w:type="dxa" w:w="2880"/>
          </w:tcPr>
          <w:p>
            <w:r>
              <w:rPr>
                <w:sz w:val="19"/>
              </w:rPr>
              <w:t>Piringan bebas gulma dan brondolan</w:t>
            </w:r>
          </w:p>
        </w:tc>
      </w:tr>
      <w:tr>
        <w:tc>
          <w:tcPr>
            <w:tcW w:type="dxa" w:w="2880"/>
          </w:tcPr>
          <w:p>
            <w:r>
              <w:rPr>
                <w:sz w:val="19"/>
              </w:rPr>
              <w:t>Gawangan bersih</w:t>
            </w:r>
          </w:p>
        </w:tc>
        <w:tc>
          <w:tcPr>
            <w:tcW w:type="dxa" w:w="2880"/>
          </w:tcPr>
          <w:p>
            <w:r>
              <w:rPr>
                <w:sz w:val="19"/>
              </w:rPr>
              <w:t>5</w:t>
            </w:r>
          </w:p>
        </w:tc>
        <w:tc>
          <w:tcPr>
            <w:tcW w:type="dxa" w:w="2880"/>
          </w:tcPr>
          <w:p>
            <w:r>
              <w:rPr>
                <w:sz w:val="19"/>
              </w:rPr>
              <w:t>Gawangan bebas tumpukan pelepah</w:t>
            </w:r>
          </w:p>
        </w:tc>
      </w:tr>
      <w:tr>
        <w:tc>
          <w:tcPr>
            <w:tcW w:type="dxa" w:w="2880"/>
          </w:tcPr>
          <w:p>
            <w:r>
              <w:rPr>
                <w:sz w:val="19"/>
              </w:rPr>
              <w:t>Pasar pikul bersih</w:t>
            </w:r>
          </w:p>
        </w:tc>
        <w:tc>
          <w:tcPr>
            <w:tcW w:type="dxa" w:w="2880"/>
          </w:tcPr>
          <w:p>
            <w:r>
              <w:rPr>
                <w:sz w:val="19"/>
              </w:rPr>
              <w:t>5</w:t>
            </w:r>
          </w:p>
        </w:tc>
        <w:tc>
          <w:tcPr>
            <w:tcW w:type="dxa" w:w="2880"/>
          </w:tcPr>
          <w:p>
            <w:r>
              <w:rPr>
                <w:sz w:val="19"/>
              </w:rPr>
              <w:t>Pasar pikul dapat dilalui angkong</w:t>
            </w:r>
          </w:p>
        </w:tc>
      </w:tr>
      <w:tr>
        <w:tc>
          <w:tcPr>
            <w:tcW w:type="dxa" w:w="2880"/>
          </w:tcPr>
          <w:p>
            <w:r>
              <w:rPr>
                <w:sz w:val="19"/>
              </w:rPr>
              <w:t>Kerapian TPH</w:t>
            </w:r>
          </w:p>
        </w:tc>
        <w:tc>
          <w:tcPr>
            <w:tcW w:type="dxa" w:w="2880"/>
          </w:tcPr>
          <w:p>
            <w:r>
              <w:rPr>
                <w:sz w:val="19"/>
              </w:rPr>
              <w:t>5</w:t>
            </w:r>
          </w:p>
        </w:tc>
        <w:tc>
          <w:tcPr>
            <w:tcW w:type="dxa" w:w="2880"/>
          </w:tcPr>
          <w:p>
            <w:r>
              <w:rPr>
                <w:sz w:val="19"/>
              </w:rPr>
              <w:t>TPH tersusun rapi, brondolan dialas karung</w:t>
            </w:r>
          </w:p>
        </w:tc>
      </w:tr>
    </w:tbl>
    <w:p>
      <w:r>
        <w:rPr>
          <w:b/>
          <w:sz w:val="23"/>
        </w:rPr>
        <w:t>5.1 Grade dan konsekuensi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Grade</w:t>
            </w:r>
          </w:p>
        </w:tc>
        <w:tc>
          <w:tcPr>
            <w:tcW w:type="dxa" w:w="2880"/>
          </w:tcPr>
          <w:p>
            <w:r>
              <w:rPr>
                <w:b/>
                <w:sz w:val="19"/>
              </w:rPr>
              <w:t>Rentang skor</w:t>
            </w:r>
          </w:p>
        </w:tc>
        <w:tc>
          <w:tcPr>
            <w:tcW w:type="dxa" w:w="2880"/>
          </w:tcPr>
          <w:p>
            <w:r>
              <w:rPr>
                <w:b/>
                <w:sz w:val="19"/>
              </w:rPr>
              <w:t>Tindakan</w:t>
            </w:r>
          </w:p>
        </w:tc>
      </w:tr>
      <w:tr>
        <w:tc>
          <w:tcPr>
            <w:tcW w:type="dxa" w:w="2880"/>
          </w:tcPr>
          <w:p>
            <w:r>
              <w:rPr>
                <w:sz w:val="19"/>
              </w:rPr>
              <w:t>A</w:t>
            </w:r>
          </w:p>
        </w:tc>
        <w:tc>
          <w:tcPr>
            <w:tcW w:type="dxa" w:w="2880"/>
          </w:tcPr>
          <w:p>
            <w:r>
              <w:rPr>
                <w:sz w:val="19"/>
              </w:rPr>
              <w:t>90 sampai 100</w:t>
            </w:r>
          </w:p>
        </w:tc>
        <w:tc>
          <w:tcPr>
            <w:tcW w:type="dxa" w:w="2880"/>
          </w:tcPr>
          <w:p>
            <w:r>
              <w:rPr>
                <w:sz w:val="19"/>
              </w:rPr>
              <w:t>Tidak ada tindakan. Masuk kandidat premi mutu.</w:t>
            </w:r>
          </w:p>
        </w:tc>
      </w:tr>
      <w:tr>
        <w:tc>
          <w:tcPr>
            <w:tcW w:type="dxa" w:w="2880"/>
          </w:tcPr>
          <w:p>
            <w:r>
              <w:rPr>
                <w:sz w:val="19"/>
              </w:rPr>
              <w:t>B</w:t>
            </w:r>
          </w:p>
        </w:tc>
        <w:tc>
          <w:tcPr>
            <w:tcW w:type="dxa" w:w="2880"/>
          </w:tcPr>
          <w:p>
            <w:r>
              <w:rPr>
                <w:sz w:val="19"/>
              </w:rPr>
              <w:t>80 sampai 89</w:t>
            </w:r>
          </w:p>
        </w:tc>
        <w:tc>
          <w:tcPr>
            <w:tcW w:type="dxa" w:w="2880"/>
          </w:tcPr>
          <w:p>
            <w:r>
              <w:rPr>
                <w:sz w:val="19"/>
              </w:rPr>
              <w:t>Pengarahan ringan oleh mandor pada apel pagi.</w:t>
            </w:r>
          </w:p>
        </w:tc>
      </w:tr>
      <w:tr>
        <w:tc>
          <w:tcPr>
            <w:tcW w:type="dxa" w:w="2880"/>
          </w:tcPr>
          <w:p>
            <w:r>
              <w:rPr>
                <w:sz w:val="19"/>
              </w:rPr>
              <w:t>C</w:t>
            </w:r>
          </w:p>
        </w:tc>
        <w:tc>
          <w:tcPr>
            <w:tcW w:type="dxa" w:w="2880"/>
          </w:tcPr>
          <w:p>
            <w:r>
              <w:rPr>
                <w:sz w:val="19"/>
              </w:rPr>
              <w:t>70 sampai 79</w:t>
            </w:r>
          </w:p>
        </w:tc>
        <w:tc>
          <w:tcPr>
            <w:tcW w:type="dxa" w:w="2880"/>
          </w:tcPr>
          <w:p>
            <w:r>
              <w:rPr>
                <w:sz w:val="19"/>
              </w:rPr>
              <w:t>Kutip ulang di hari yang sama, coaching mandor, denda Rp 35.000.</w:t>
            </w:r>
          </w:p>
        </w:tc>
      </w:tr>
      <w:tr>
        <w:tc>
          <w:tcPr>
            <w:tcW w:type="dxa" w:w="2880"/>
          </w:tcPr>
          <w:p>
            <w:r>
              <w:rPr>
                <w:sz w:val="19"/>
              </w:rPr>
              <w:t>D</w:t>
            </w:r>
          </w:p>
        </w:tc>
        <w:tc>
          <w:tcPr>
            <w:tcW w:type="dxa" w:w="2880"/>
          </w:tcPr>
          <w:p>
            <w:r>
              <w:rPr>
                <w:sz w:val="19"/>
              </w:rPr>
              <w:t>Di bawah 70</w:t>
            </w:r>
          </w:p>
        </w:tc>
        <w:tc>
          <w:tcPr>
            <w:tcW w:type="dxa" w:w="2880"/>
          </w:tcPr>
          <w:p>
            <w:r>
              <w:rPr>
                <w:sz w:val="19"/>
              </w:rPr>
              <w:t>Kutip ulang, surat peringatan, pelatihan ulang, denda Rp 75.000.</w:t>
            </w:r>
          </w:p>
        </w:tc>
      </w:tr>
    </w:tbl>
    <w:p>
      <w:r>
        <w:rPr>
          <w:b/>
          <w:color w:val="14532D"/>
          <w:sz w:val="27"/>
        </w:rPr>
        <w:t>6. Eskalasi</w:t>
      </w:r>
    </w:p>
    <w:p>
      <w:pPr>
        <w:pStyle w:val="ListNumber"/>
      </w:pPr>
      <w:r>
        <w:t>Skor rata-rata afdeling di bawah 75 selama dua bulan berturut-turut wajib dieskalasi ke Estate Manager dan Manager SQA.</w:t>
      </w:r>
    </w:p>
    <w:p>
      <w:pPr>
        <w:pStyle w:val="ListNumber"/>
      </w:pPr>
      <w:r>
        <w:t>Losses panen di atas ambang kritis pada satu blok wajib ditindaklanjuti dengan kutip ulang maksimal 1 x 24 jam.</w:t>
      </w:r>
    </w:p>
    <w:p>
      <w:pPr>
        <w:pStyle w:val="ListNumber"/>
      </w:pPr>
      <w:r>
        <w:t>Restan di atas 48 jam wajib dilaporkan ke GM Mill Operations karena berdampak langsung pada ALB dan rendemen pabrik.</w:t>
      </w:r>
    </w:p>
    <w:p>
      <w:pPr>
        <w:pStyle w:val="ListNumber"/>
      </w:pPr>
      <w:r>
        <w:t>Rekapitulasi mutu hancak dikirim ke Direktur Operasi setiap tanggal 5 bulan berikutnya.</w:t>
      </w:r>
    </w:p>
    <w:p>
      <w:r>
        <w:rPr>
          <w:b/>
          <w:color w:val="14532D"/>
          <w:sz w:val="27"/>
        </w:rPr>
        <w:t>7. Dokumen Terkait</w:t>
      </w:r>
    </w:p>
    <w:p>
      <w:pPr>
        <w:pStyle w:val="ListBullet"/>
      </w:pPr>
      <w:r>
        <w:t>SOP-PKS-021 Standar Mutu dan Losses Pabrik Kelapa Sawit</w:t>
      </w:r>
    </w:p>
    <w:p>
      <w:pPr>
        <w:pStyle w:val="ListBullet"/>
      </w:pPr>
      <w:r>
        <w:t>SOP-AGR-009 Pemupukan dan Aplikasi Hara</w:t>
      </w:r>
    </w:p>
    <w:p>
      <w:pPr>
        <w:pStyle w:val="ListBullet"/>
      </w:pPr>
      <w:r>
        <w:t>FRM-SQA-03 Formulir Inspeksi Mutu Hancak</w:t>
      </w:r>
    </w:p>
    <w:p>
      <w:pPr>
        <w:pStyle w:val="ListBullet"/>
      </w:pPr>
      <w:r>
        <w:t>FRM-EPR-07 Formulir Inspeksi Losses Panen</w:t>
      </w:r>
    </w:p>
    <w:p>
      <w:r>
        <w:t>Disusun oleh Tri Wibisono (Manager SQA). Diperiksa oleh Tantra Mahendra (Manager Agronomi EPR). Disetujui oleh Ratna Kusumaningrum (Direktur Operasi).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