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4532D"/>
          <w:sz w:val="20"/>
        </w:rPr>
        <w:t>PT PALMARAYA NUSANTARA Tbk</w:t>
      </w:r>
    </w:p>
    <w:p>
      <w:r>
        <w:rPr>
          <w:b/>
          <w:color w:val="14532D"/>
          <w:sz w:val="36"/>
        </w:rPr>
        <w:t>Standar Mutu dan Losses Pabrik Kelapa Sawit</w:t>
      </w:r>
    </w:p>
    <w:p>
      <w:r>
        <w:rPr>
          <w:i/>
          <w:sz w:val="21"/>
        </w:rPr>
        <w:t>Nomor dokumen SOP-PKS-021 · Revisi 6 · Berlaku 1 Januari 2026 · Divisi Engineering &amp; SQA</w:t>
      </w:r>
    </w:p>
    <w:p>
      <w:r>
        <w:rPr>
          <w:sz w:val="16"/>
        </w:rPr>
        <w:t>Dokumen fiktif untuk keperluan pelatihan. Bukan dokumen operasional.</w:t>
      </w:r>
    </w:p>
    <w:p>
      <w:r>
        <w:rPr>
          <w:b/>
          <w:color w:val="14532D"/>
          <w:sz w:val="27"/>
        </w:rPr>
        <w:t>1. Target Ekstraksi</w:t>
      </w:r>
    </w:p>
    <w:p>
      <w:r>
        <w:t>Target rendemen minyak (OER) perusahaan adalah 23,2 persen dan rendemen inti (KER) 5,1 persen terhadap TBS olah. Target ini ditetapkan berdasarkan potensi minyak mesokarp rata-rata bahan baku sebesar 24,7 persen dikurangi toleransi total losses proses sebesar 1,9 persen.</w:t>
      </w:r>
    </w:p>
    <w:p>
      <w:r>
        <w:rPr>
          <w:b/>
          <w:color w:val="14532D"/>
          <w:sz w:val="27"/>
        </w:rPr>
        <w:t>2. Standar Losses per Stasiun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9"/>
              </w:rPr>
              <w:t>Stasiun</w:t>
            </w:r>
          </w:p>
        </w:tc>
        <w:tc>
          <w:tcPr>
            <w:tcW w:type="dxa" w:w="2160"/>
          </w:tcPr>
          <w:p>
            <w:r>
              <w:rPr>
                <w:b/>
                <w:sz w:val="19"/>
              </w:rPr>
              <w:t>Jenis losses</w:t>
            </w:r>
          </w:p>
        </w:tc>
        <w:tc>
          <w:tcPr>
            <w:tcW w:type="dxa" w:w="2160"/>
          </w:tcPr>
          <w:p>
            <w:r>
              <w:rPr>
                <w:b/>
                <w:sz w:val="19"/>
              </w:rPr>
              <w:t>Standar maksimum (% terhadap TBS)</w:t>
            </w:r>
          </w:p>
        </w:tc>
        <w:tc>
          <w:tcPr>
            <w:tcW w:type="dxa" w:w="2160"/>
          </w:tcPr>
          <w:p>
            <w:r>
              <w:rPr>
                <w:b/>
                <w:sz w:val="19"/>
              </w:rPr>
              <w:t>Metode uji</w:t>
            </w:r>
          </w:p>
        </w:tc>
      </w:tr>
      <w:tr>
        <w:tc>
          <w:tcPr>
            <w:tcW w:type="dxa" w:w="2160"/>
          </w:tcPr>
          <w:p>
            <w:r>
              <w:rPr>
                <w:sz w:val="19"/>
              </w:rPr>
              <w:t>Tandan Kosong (EFB)</w:t>
            </w:r>
          </w:p>
        </w:tc>
        <w:tc>
          <w:tcPr>
            <w:tcW w:type="dxa" w:w="2160"/>
          </w:tcPr>
          <w:p>
            <w:r>
              <w:rPr>
                <w:sz w:val="19"/>
              </w:rPr>
              <w:t>Oil Loss</w:t>
            </w:r>
          </w:p>
        </w:tc>
        <w:tc>
          <w:tcPr>
            <w:tcW w:type="dxa" w:w="2160"/>
          </w:tcPr>
          <w:p>
            <w:r>
              <w:rPr>
                <w:sz w:val="19"/>
              </w:rPr>
              <w:t>0,45</w:t>
            </w:r>
          </w:p>
        </w:tc>
        <w:tc>
          <w:tcPr>
            <w:tcW w:type="dxa" w:w="2160"/>
          </w:tcPr>
          <w:p>
            <w:r>
              <w:rPr>
                <w:sz w:val="19"/>
              </w:rPr>
              <w:t>Soxhlet ekstraksi</w:t>
            </w:r>
          </w:p>
        </w:tc>
      </w:tr>
      <w:tr>
        <w:tc>
          <w:tcPr>
            <w:tcW w:type="dxa" w:w="2160"/>
          </w:tcPr>
          <w:p>
            <w:r>
              <w:rPr>
                <w:sz w:val="19"/>
              </w:rPr>
              <w:t>Unstripped Bunch (USB)</w:t>
            </w:r>
          </w:p>
        </w:tc>
        <w:tc>
          <w:tcPr>
            <w:tcW w:type="dxa" w:w="2160"/>
          </w:tcPr>
          <w:p>
            <w:r>
              <w:rPr>
                <w:sz w:val="19"/>
              </w:rPr>
              <w:t>Oil Loss</w:t>
            </w:r>
          </w:p>
        </w:tc>
        <w:tc>
          <w:tcPr>
            <w:tcW w:type="dxa" w:w="2160"/>
          </w:tcPr>
          <w:p>
            <w:r>
              <w:rPr>
                <w:sz w:val="19"/>
              </w:rPr>
              <w:t>0,10</w:t>
            </w:r>
          </w:p>
        </w:tc>
        <w:tc>
          <w:tcPr>
            <w:tcW w:type="dxa" w:w="2160"/>
          </w:tcPr>
          <w:p>
            <w:r>
              <w:rPr>
                <w:sz w:val="19"/>
              </w:rPr>
              <w:t>Soxhlet ekstraksi</w:t>
            </w:r>
          </w:p>
        </w:tc>
      </w:tr>
      <w:tr>
        <w:tc>
          <w:tcPr>
            <w:tcW w:type="dxa" w:w="2160"/>
          </w:tcPr>
          <w:p>
            <w:r>
              <w:rPr>
                <w:sz w:val="19"/>
              </w:rPr>
              <w:t>Ampas Press / Fibre</w:t>
            </w:r>
          </w:p>
        </w:tc>
        <w:tc>
          <w:tcPr>
            <w:tcW w:type="dxa" w:w="2160"/>
          </w:tcPr>
          <w:p>
            <w:r>
              <w:rPr>
                <w:sz w:val="19"/>
              </w:rPr>
              <w:t>Oil Loss</w:t>
            </w:r>
          </w:p>
        </w:tc>
        <w:tc>
          <w:tcPr>
            <w:tcW w:type="dxa" w:w="2160"/>
          </w:tcPr>
          <w:p>
            <w:r>
              <w:rPr>
                <w:sz w:val="19"/>
              </w:rPr>
              <w:t>0,60</w:t>
            </w:r>
          </w:p>
        </w:tc>
        <w:tc>
          <w:tcPr>
            <w:tcW w:type="dxa" w:w="2160"/>
          </w:tcPr>
          <w:p>
            <w:r>
              <w:rPr>
                <w:sz w:val="19"/>
              </w:rPr>
              <w:t>Soxhlet ekstraksi</w:t>
            </w:r>
          </w:p>
        </w:tc>
      </w:tr>
      <w:tr>
        <w:tc>
          <w:tcPr>
            <w:tcW w:type="dxa" w:w="2160"/>
          </w:tcPr>
          <w:p>
            <w:r>
              <w:rPr>
                <w:sz w:val="19"/>
              </w:rPr>
              <w:t>Biji / Nut</w:t>
            </w:r>
          </w:p>
        </w:tc>
        <w:tc>
          <w:tcPr>
            <w:tcW w:type="dxa" w:w="2160"/>
          </w:tcPr>
          <w:p>
            <w:r>
              <w:rPr>
                <w:sz w:val="19"/>
              </w:rPr>
              <w:t>Oil Loss</w:t>
            </w:r>
          </w:p>
        </w:tc>
        <w:tc>
          <w:tcPr>
            <w:tcW w:type="dxa" w:w="2160"/>
          </w:tcPr>
          <w:p>
            <w:r>
              <w:rPr>
                <w:sz w:val="19"/>
              </w:rPr>
              <w:t>0,20</w:t>
            </w:r>
          </w:p>
        </w:tc>
        <w:tc>
          <w:tcPr>
            <w:tcW w:type="dxa" w:w="2160"/>
          </w:tcPr>
          <w:p>
            <w:r>
              <w:rPr>
                <w:sz w:val="19"/>
              </w:rPr>
              <w:t>Soxhlet ekstraksi</w:t>
            </w:r>
          </w:p>
        </w:tc>
      </w:tr>
      <w:tr>
        <w:tc>
          <w:tcPr>
            <w:tcW w:type="dxa" w:w="2160"/>
          </w:tcPr>
          <w:p>
            <w:r>
              <w:rPr>
                <w:sz w:val="19"/>
              </w:rPr>
              <w:t>Sludge / Final Effluent</w:t>
            </w:r>
          </w:p>
        </w:tc>
        <w:tc>
          <w:tcPr>
            <w:tcW w:type="dxa" w:w="2160"/>
          </w:tcPr>
          <w:p>
            <w:r>
              <w:rPr>
                <w:sz w:val="19"/>
              </w:rPr>
              <w:t>Oil Loss</w:t>
            </w:r>
          </w:p>
        </w:tc>
        <w:tc>
          <w:tcPr>
            <w:tcW w:type="dxa" w:w="2160"/>
          </w:tcPr>
          <w:p>
            <w:r>
              <w:rPr>
                <w:sz w:val="19"/>
              </w:rPr>
              <w:t>0,55</w:t>
            </w:r>
          </w:p>
        </w:tc>
        <w:tc>
          <w:tcPr>
            <w:tcW w:type="dxa" w:w="2160"/>
          </w:tcPr>
          <w:p>
            <w:r>
              <w:rPr>
                <w:sz w:val="19"/>
              </w:rPr>
              <w:t>Oven kadar air dan Soxhlet</w:t>
            </w:r>
          </w:p>
        </w:tc>
      </w:tr>
      <w:tr>
        <w:tc>
          <w:tcPr>
            <w:tcW w:type="dxa" w:w="2160"/>
          </w:tcPr>
          <w:p>
            <w:r>
              <w:rPr>
                <w:sz w:val="19"/>
              </w:rPr>
              <w:t>Kernel di Fibre Cyclone</w:t>
            </w:r>
          </w:p>
        </w:tc>
        <w:tc>
          <w:tcPr>
            <w:tcW w:type="dxa" w:w="2160"/>
          </w:tcPr>
          <w:p>
            <w:r>
              <w:rPr>
                <w:sz w:val="19"/>
              </w:rPr>
              <w:t>Kernel Loss</w:t>
            </w:r>
          </w:p>
        </w:tc>
        <w:tc>
          <w:tcPr>
            <w:tcW w:type="dxa" w:w="2160"/>
          </w:tcPr>
          <w:p>
            <w:r>
              <w:rPr>
                <w:sz w:val="19"/>
              </w:rPr>
              <w:t>0,60</w:t>
            </w:r>
          </w:p>
        </w:tc>
        <w:tc>
          <w:tcPr>
            <w:tcW w:type="dxa" w:w="2160"/>
          </w:tcPr>
          <w:p>
            <w:r>
              <w:rPr>
                <w:sz w:val="19"/>
              </w:rPr>
              <w:t>Pemisahan manual</w:t>
            </w:r>
          </w:p>
        </w:tc>
      </w:tr>
      <w:tr>
        <w:tc>
          <w:tcPr>
            <w:tcW w:type="dxa" w:w="2160"/>
          </w:tcPr>
          <w:p>
            <w:r>
              <w:rPr>
                <w:sz w:val="19"/>
              </w:rPr>
              <w:t>Kernel di Cangkang (LTDS)</w:t>
            </w:r>
          </w:p>
        </w:tc>
        <w:tc>
          <w:tcPr>
            <w:tcW w:type="dxa" w:w="2160"/>
          </w:tcPr>
          <w:p>
            <w:r>
              <w:rPr>
                <w:sz w:val="19"/>
              </w:rPr>
              <w:t>Kernel Loss</w:t>
            </w:r>
          </w:p>
        </w:tc>
        <w:tc>
          <w:tcPr>
            <w:tcW w:type="dxa" w:w="2160"/>
          </w:tcPr>
          <w:p>
            <w:r>
              <w:rPr>
                <w:sz w:val="19"/>
              </w:rPr>
              <w:t>0,55</w:t>
            </w:r>
          </w:p>
        </w:tc>
        <w:tc>
          <w:tcPr>
            <w:tcW w:type="dxa" w:w="2160"/>
          </w:tcPr>
          <w:p>
            <w:r>
              <w:rPr>
                <w:sz w:val="19"/>
              </w:rPr>
              <w:t>Pemisahan manual</w:t>
            </w:r>
          </w:p>
        </w:tc>
      </w:tr>
      <w:tr>
        <w:tc>
          <w:tcPr>
            <w:tcW w:type="dxa" w:w="2160"/>
          </w:tcPr>
          <w:p>
            <w:r>
              <w:rPr>
                <w:sz w:val="19"/>
              </w:rPr>
              <w:t>Kernel di Claybath</w:t>
            </w:r>
          </w:p>
        </w:tc>
        <w:tc>
          <w:tcPr>
            <w:tcW w:type="dxa" w:w="2160"/>
          </w:tcPr>
          <w:p>
            <w:r>
              <w:rPr>
                <w:sz w:val="19"/>
              </w:rPr>
              <w:t>Kernel Loss</w:t>
            </w:r>
          </w:p>
        </w:tc>
        <w:tc>
          <w:tcPr>
            <w:tcW w:type="dxa" w:w="2160"/>
          </w:tcPr>
          <w:p>
            <w:r>
              <w:rPr>
                <w:sz w:val="19"/>
              </w:rPr>
              <w:t>0,35</w:t>
            </w:r>
          </w:p>
        </w:tc>
        <w:tc>
          <w:tcPr>
            <w:tcW w:type="dxa" w:w="2160"/>
          </w:tcPr>
          <w:p>
            <w:r>
              <w:rPr>
                <w:sz w:val="19"/>
              </w:rPr>
              <w:t>Pemisahan manual</w:t>
            </w:r>
          </w:p>
        </w:tc>
      </w:tr>
      <w:tr>
        <w:tc>
          <w:tcPr>
            <w:tcW w:type="dxa" w:w="2160"/>
          </w:tcPr>
          <w:p>
            <w:r>
              <w:rPr>
                <w:sz w:val="19"/>
              </w:rPr>
              <w:t>Kernel di Effluent</w:t>
            </w:r>
          </w:p>
        </w:tc>
        <w:tc>
          <w:tcPr>
            <w:tcW w:type="dxa" w:w="2160"/>
          </w:tcPr>
          <w:p>
            <w:r>
              <w:rPr>
                <w:sz w:val="19"/>
              </w:rPr>
              <w:t>Kernel Loss</w:t>
            </w:r>
          </w:p>
        </w:tc>
        <w:tc>
          <w:tcPr>
            <w:tcW w:type="dxa" w:w="2160"/>
          </w:tcPr>
          <w:p>
            <w:r>
              <w:rPr>
                <w:sz w:val="19"/>
              </w:rPr>
              <w:t>0,05</w:t>
            </w:r>
          </w:p>
        </w:tc>
        <w:tc>
          <w:tcPr>
            <w:tcW w:type="dxa" w:w="2160"/>
          </w:tcPr>
          <w:p>
            <w:r>
              <w:rPr>
                <w:sz w:val="19"/>
              </w:rPr>
              <w:t>Pemisahan manual</w:t>
            </w:r>
          </w:p>
        </w:tc>
      </w:tr>
    </w:tbl>
    <w:p>
      <w:r>
        <w:rPr>
          <w:b/>
          <w:color w:val="14532D"/>
          <w:sz w:val="27"/>
        </w:rPr>
        <w:t>3. Parameter Proses Wajib</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9"/>
              </w:rPr>
              <w:t>Parameter</w:t>
            </w:r>
          </w:p>
        </w:tc>
        <w:tc>
          <w:tcPr>
            <w:tcW w:type="dxa" w:w="2880"/>
          </w:tcPr>
          <w:p>
            <w:r>
              <w:rPr>
                <w:b/>
                <w:sz w:val="19"/>
              </w:rPr>
              <w:t>Standar</w:t>
            </w:r>
          </w:p>
        </w:tc>
        <w:tc>
          <w:tcPr>
            <w:tcW w:type="dxa" w:w="2880"/>
          </w:tcPr>
          <w:p>
            <w:r>
              <w:rPr>
                <w:b/>
                <w:sz w:val="19"/>
              </w:rPr>
              <w:t>Dampak bila menyimpang</w:t>
            </w:r>
          </w:p>
        </w:tc>
      </w:tr>
      <w:tr>
        <w:tc>
          <w:tcPr>
            <w:tcW w:type="dxa" w:w="2880"/>
          </w:tcPr>
          <w:p>
            <w:r>
              <w:rPr>
                <w:sz w:val="19"/>
              </w:rPr>
              <w:t>Siklus rebusan (sterilizer)</w:t>
            </w:r>
          </w:p>
        </w:tc>
        <w:tc>
          <w:tcPr>
            <w:tcW w:type="dxa" w:w="2880"/>
          </w:tcPr>
          <w:p>
            <w:r>
              <w:rPr>
                <w:sz w:val="19"/>
              </w:rPr>
              <w:t>90 menit, triple peak</w:t>
            </w:r>
          </w:p>
        </w:tc>
        <w:tc>
          <w:tcPr>
            <w:tcW w:type="dxa" w:w="2880"/>
          </w:tcPr>
          <w:p>
            <w:r>
              <w:rPr>
                <w:sz w:val="19"/>
              </w:rPr>
              <w:t>Siklus di bawah 80 menit menaikkan USB dan losses tandan kosong</w:t>
            </w:r>
          </w:p>
        </w:tc>
      </w:tr>
      <w:tr>
        <w:tc>
          <w:tcPr>
            <w:tcW w:type="dxa" w:w="2880"/>
          </w:tcPr>
          <w:p>
            <w:r>
              <w:rPr>
                <w:sz w:val="19"/>
              </w:rPr>
              <w:t>Tekanan rebusan</w:t>
            </w:r>
          </w:p>
        </w:tc>
        <w:tc>
          <w:tcPr>
            <w:tcW w:type="dxa" w:w="2880"/>
          </w:tcPr>
          <w:p>
            <w:r>
              <w:rPr>
                <w:sz w:val="19"/>
              </w:rPr>
              <w:t>2,8 sampai 3,0 bar</w:t>
            </w:r>
          </w:p>
        </w:tc>
        <w:tc>
          <w:tcPr>
            <w:tcW w:type="dxa" w:w="2880"/>
          </w:tcPr>
          <w:p>
            <w:r>
              <w:rPr>
                <w:sz w:val="19"/>
              </w:rPr>
              <w:t>Tekanan rendah membuat janjang tidak lepas sempurna</w:t>
            </w:r>
          </w:p>
        </w:tc>
      </w:tr>
      <w:tr>
        <w:tc>
          <w:tcPr>
            <w:tcW w:type="dxa" w:w="2880"/>
          </w:tcPr>
          <w:p>
            <w:r>
              <w:rPr>
                <w:sz w:val="19"/>
              </w:rPr>
              <w:t>Suhu rebusan</w:t>
            </w:r>
          </w:p>
        </w:tc>
        <w:tc>
          <w:tcPr>
            <w:tcW w:type="dxa" w:w="2880"/>
          </w:tcPr>
          <w:p>
            <w:r>
              <w:rPr>
                <w:sz w:val="19"/>
              </w:rPr>
              <w:t>135 sampai 140 derajat Celsius</w:t>
            </w:r>
          </w:p>
        </w:tc>
        <w:tc>
          <w:tcPr>
            <w:tcW w:type="dxa" w:w="2880"/>
          </w:tcPr>
          <w:p>
            <w:r>
              <w:rPr>
                <w:sz w:val="19"/>
              </w:rPr>
              <w:t>Suhu rendah menaikkan oil loss di janjang kosong</w:t>
            </w:r>
          </w:p>
        </w:tc>
      </w:tr>
      <w:tr>
        <w:tc>
          <w:tcPr>
            <w:tcW w:type="dxa" w:w="2880"/>
          </w:tcPr>
          <w:p>
            <w:r>
              <w:rPr>
                <w:sz w:val="19"/>
              </w:rPr>
              <w:t>Tekanan kerja screw press</w:t>
            </w:r>
          </w:p>
        </w:tc>
        <w:tc>
          <w:tcPr>
            <w:tcW w:type="dxa" w:w="2880"/>
          </w:tcPr>
          <w:p>
            <w:r>
              <w:rPr>
                <w:sz w:val="19"/>
              </w:rPr>
              <w:t>45 sampai 50 bar</w:t>
            </w:r>
          </w:p>
        </w:tc>
        <w:tc>
          <w:tcPr>
            <w:tcW w:type="dxa" w:w="2880"/>
          </w:tcPr>
          <w:p>
            <w:r>
              <w:rPr>
                <w:sz w:val="19"/>
              </w:rPr>
              <w:t>Tekanan rendah menaikkan oil loss di ampas press</w:t>
            </w:r>
          </w:p>
        </w:tc>
      </w:tr>
      <w:tr>
        <w:tc>
          <w:tcPr>
            <w:tcW w:type="dxa" w:w="2880"/>
          </w:tcPr>
          <w:p>
            <w:r>
              <w:rPr>
                <w:sz w:val="19"/>
              </w:rPr>
              <w:t>Penggantian press cone dan screw</w:t>
            </w:r>
          </w:p>
        </w:tc>
        <w:tc>
          <w:tcPr>
            <w:tcW w:type="dxa" w:w="2880"/>
          </w:tcPr>
          <w:p>
            <w:r>
              <w:rPr>
                <w:sz w:val="19"/>
              </w:rPr>
              <w:t>Setiap 4.000 jam operasi</w:t>
            </w:r>
          </w:p>
        </w:tc>
        <w:tc>
          <w:tcPr>
            <w:tcW w:type="dxa" w:w="2880"/>
          </w:tcPr>
          <w:p>
            <w:r>
              <w:rPr>
                <w:sz w:val="19"/>
              </w:rPr>
              <w:t>Keausan menaikkan oil loss di fibre dan menurunkan kapasitas</w:t>
            </w:r>
          </w:p>
        </w:tc>
      </w:tr>
      <w:tr>
        <w:tc>
          <w:tcPr>
            <w:tcW w:type="dxa" w:w="2880"/>
          </w:tcPr>
          <w:p>
            <w:r>
              <w:rPr>
                <w:sz w:val="19"/>
              </w:rPr>
              <w:t>Kapasitas olah terpakai</w:t>
            </w:r>
          </w:p>
        </w:tc>
        <w:tc>
          <w:tcPr>
            <w:tcW w:type="dxa" w:w="2880"/>
          </w:tcPr>
          <w:p>
            <w:r>
              <w:rPr>
                <w:sz w:val="19"/>
              </w:rPr>
              <w:t>Minimal 80 persen kapasitas terpasang</w:t>
            </w:r>
          </w:p>
        </w:tc>
        <w:tc>
          <w:tcPr>
            <w:tcW w:type="dxa" w:w="2880"/>
          </w:tcPr>
          <w:p>
            <w:r>
              <w:rPr>
                <w:sz w:val="19"/>
              </w:rPr>
              <w:t>Olah di bawah kapasitas menaikkan konsumsi uap per ton</w:t>
            </w:r>
          </w:p>
        </w:tc>
      </w:tr>
    </w:tbl>
    <w:p>
      <w:r>
        <w:rPr>
          <w:b/>
          <w:color w:val="14532D"/>
          <w:sz w:val="27"/>
        </w:rPr>
        <w:t>4. Prosedur Sampling Losses</w:t>
      </w:r>
    </w:p>
    <w:p>
      <w:pPr>
        <w:pStyle w:val="ListNumber"/>
      </w:pPr>
      <w:r>
        <w:t>Sampling dilakukan minimal satu kali per stasiun per shift oleh petugas laboratorium.</w:t>
      </w:r>
    </w:p>
    <w:p>
      <w:pPr>
        <w:pStyle w:val="ListNumber"/>
      </w:pPr>
      <w:r>
        <w:t>Sampel diambil pada kondisi olah normal, minimal 2 jam setelah start up.</w:t>
      </w:r>
    </w:p>
    <w:p>
      <w:pPr>
        <w:pStyle w:val="ListNumber"/>
      </w:pPr>
      <w:r>
        <w:t>Hasil analisa dicatat pada hari yang sama dan dibandingkan dengan standar maksimum.</w:t>
      </w:r>
    </w:p>
    <w:p>
      <w:pPr>
        <w:pStyle w:val="ListNumber"/>
      </w:pPr>
      <w:r>
        <w:t>Sampel yang melebihi standar wajib diulang pada shift berikutnya untuk konfirmasi.</w:t>
      </w:r>
    </w:p>
    <w:p>
      <w:pPr>
        <w:pStyle w:val="ListNumber"/>
      </w:pPr>
      <w:r>
        <w:t>Tiga hasil berturut-turut di atas standar pada stasiun yang sama wajib dibuatkan laporan penyimpangan.</w:t>
      </w:r>
    </w:p>
    <w:p>
      <w:r>
        <w:rPr>
          <w:b/>
          <w:color w:val="14532D"/>
          <w:sz w:val="27"/>
        </w:rPr>
        <w:t>5. Sortasi TBS di Loading Ramp</w:t>
      </w:r>
    </w:p>
    <w:p>
      <w:r>
        <w:t>Sortasi dilakukan pada minimal 10 truk per hari secara acak. Parameter yang dicatat adalah persentase janjang matang, mentah, lewat matang, janjang kosong, tangkai panjang, berat brondolan dan lama restan sejak panen. TBS dengan restan di atas 24 jam diberi grade C dan dikenakan penalti mutu.</w:t>
      </w:r>
    </w:p>
    <w:p>
      <w:r>
        <w:rPr>
          <w:b/>
          <w:color w:val="14532D"/>
          <w:sz w:val="27"/>
        </w:rPr>
        <w:t>6. Tindakan Bila Losses Melebihi Standar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9"/>
              </w:rPr>
              <w:t>Kondisi</w:t>
            </w:r>
          </w:p>
        </w:tc>
        <w:tc>
          <w:tcPr>
            <w:tcW w:type="dxa" w:w="2880"/>
          </w:tcPr>
          <w:p>
            <w:r>
              <w:rPr>
                <w:b/>
                <w:sz w:val="19"/>
              </w:rPr>
              <w:t>Penanggung jawab</w:t>
            </w:r>
          </w:p>
        </w:tc>
        <w:tc>
          <w:tcPr>
            <w:tcW w:type="dxa" w:w="2880"/>
          </w:tcPr>
          <w:p>
            <w:r>
              <w:rPr>
                <w:b/>
                <w:sz w:val="19"/>
              </w:rPr>
              <w:t>Batas waktu tindakan</w:t>
            </w:r>
          </w:p>
        </w:tc>
      </w:tr>
      <w:tr>
        <w:tc>
          <w:tcPr>
            <w:tcW w:type="dxa" w:w="2880"/>
          </w:tcPr>
          <w:p>
            <w:r>
              <w:rPr>
                <w:sz w:val="19"/>
              </w:rPr>
              <w:t>Satu stasiun melebihi standar 3 hari berturut-turut</w:t>
            </w:r>
          </w:p>
        </w:tc>
        <w:tc>
          <w:tcPr>
            <w:tcW w:type="dxa" w:w="2880"/>
          </w:tcPr>
          <w:p>
            <w:r>
              <w:rPr>
                <w:sz w:val="19"/>
              </w:rPr>
              <w:t>Asisten Proses</w:t>
            </w:r>
          </w:p>
        </w:tc>
        <w:tc>
          <w:tcPr>
            <w:tcW w:type="dxa" w:w="2880"/>
          </w:tcPr>
          <w:p>
            <w:r>
              <w:rPr>
                <w:sz w:val="19"/>
              </w:rPr>
              <w:t>1 x 24 jam</w:t>
            </w:r>
          </w:p>
        </w:tc>
      </w:tr>
      <w:tr>
        <w:tc>
          <w:tcPr>
            <w:tcW w:type="dxa" w:w="2880"/>
          </w:tcPr>
          <w:p>
            <w:r>
              <w:rPr>
                <w:sz w:val="19"/>
              </w:rPr>
              <w:t>OER harian di bawah 22,0 persen</w:t>
            </w:r>
          </w:p>
        </w:tc>
        <w:tc>
          <w:tcPr>
            <w:tcW w:type="dxa" w:w="2880"/>
          </w:tcPr>
          <w:p>
            <w:r>
              <w:rPr>
                <w:sz w:val="19"/>
              </w:rPr>
              <w:t>Manager Engineering</w:t>
            </w:r>
          </w:p>
        </w:tc>
        <w:tc>
          <w:tcPr>
            <w:tcW w:type="dxa" w:w="2880"/>
          </w:tcPr>
          <w:p>
            <w:r>
              <w:rPr>
                <w:sz w:val="19"/>
              </w:rPr>
              <w:t>Analisa akar masalah dalam 2 hari kerja</w:t>
            </w:r>
          </w:p>
        </w:tc>
      </w:tr>
      <w:tr>
        <w:tc>
          <w:tcPr>
            <w:tcW w:type="dxa" w:w="2880"/>
          </w:tcPr>
          <w:p>
            <w:r>
              <w:rPr>
                <w:sz w:val="19"/>
              </w:rPr>
              <w:t>OER bulanan di bawah target 23,2 persen</w:t>
            </w:r>
          </w:p>
        </w:tc>
        <w:tc>
          <w:tcPr>
            <w:tcW w:type="dxa" w:w="2880"/>
          </w:tcPr>
          <w:p>
            <w:r>
              <w:rPr>
                <w:sz w:val="19"/>
              </w:rPr>
              <w:t>GM Mill Operations</w:t>
            </w:r>
          </w:p>
        </w:tc>
        <w:tc>
          <w:tcPr>
            <w:tcW w:type="dxa" w:w="2880"/>
          </w:tcPr>
          <w:p>
            <w:r>
              <w:rPr>
                <w:sz w:val="19"/>
              </w:rPr>
              <w:t>Laporan ke Direktur Operasi pada rapat produksi bulanan</w:t>
            </w:r>
          </w:p>
        </w:tc>
      </w:tr>
      <w:tr>
        <w:tc>
          <w:tcPr>
            <w:tcW w:type="dxa" w:w="2880"/>
          </w:tcPr>
          <w:p>
            <w:r>
              <w:rPr>
                <w:sz w:val="19"/>
              </w:rPr>
              <w:t>Losses tandan kosong di atas 0,70 persen</w:t>
            </w:r>
          </w:p>
        </w:tc>
        <w:tc>
          <w:tcPr>
            <w:tcW w:type="dxa" w:w="2880"/>
          </w:tcPr>
          <w:p>
            <w:r>
              <w:rPr>
                <w:sz w:val="19"/>
              </w:rPr>
              <w:t>Asisten Proses dan Engineering</w:t>
            </w:r>
          </w:p>
        </w:tc>
        <w:tc>
          <w:tcPr>
            <w:tcW w:type="dxa" w:w="2880"/>
          </w:tcPr>
          <w:p>
            <w:r>
              <w:rPr>
                <w:sz w:val="19"/>
              </w:rPr>
              <w:t>Audit setting thresher dan sterilizer dalam 3 hari</w:t>
            </w:r>
          </w:p>
        </w:tc>
      </w:tr>
    </w:tbl>
    <w:p>
      <w:r>
        <w:t>Disusun oleh Agus Prakoso (Manager Engineering). Diperiksa oleh Yanuar Santika (SQA Officer). Disetujui oleh Bayu Hardiman (GM Mill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