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4532D"/>
          <w:sz w:val="20"/>
        </w:rPr>
        <w:t>PT PALMARAYA NUSANTARA Tbk</w:t>
      </w:r>
    </w:p>
    <w:p>
      <w:r>
        <w:rPr>
          <w:b/>
          <w:color w:val="14532D"/>
          <w:sz w:val="36"/>
        </w:rPr>
        <w:t>Memo Strategis Kuartal 3 FY2026</w:t>
      </w:r>
    </w:p>
    <w:p>
      <w:r>
        <w:rPr>
          <w:i/>
          <w:sz w:val="21"/>
        </w:rPr>
        <w:t>Dari Direktur Operasi kepada seluruh Estate Manager dan Mill Manager · 5 Agustus 2026</w:t>
      </w:r>
    </w:p>
    <w:p>
      <w:r>
        <w:rPr>
          <w:sz w:val="16"/>
        </w:rPr>
        <w:t>Dokumen fiktif untuk keperluan pelatihan. Bukan dokumen operasional.</w:t>
      </w:r>
    </w:p>
    <w:p>
      <w:r>
        <w:rPr>
          <w:b/>
          <w:color w:val="14532D"/>
          <w:sz w:val="27"/>
        </w:rPr>
        <w:t>Ringkasan</w:t>
      </w:r>
    </w:p>
    <w:p>
      <w:r>
        <w:t>Rendemen konsolidasi Januari sampai Juli 2026 tercatat 21,96 persen, sementara target perusahaan 23,2 persen. Rendemen turun berturut-turut selama tujuh bulan, dari 22,77 persen pada Januari menjadi 21,18 persen pada Juli. Dengan volume olah 412.206 ton TBS, selisih 1,24 poin persentase setara dengan potensi nilai sekitar Rp 122 miliar setahun pada harga CPO Juli 2026. Kuartal 3 difokuskan pada empat perbaikan yang seluruhnya berada di dalam kendali operasi.</w:t>
      </w:r>
    </w:p>
    <w:p>
      <w:r>
        <w:rPr>
          <w:b/>
          <w:color w:val="14532D"/>
          <w:sz w:val="27"/>
        </w:rPr>
        <w:t>Empat Prioritas Kuartal 3</w:t>
      </w:r>
    </w:p>
    <w:p>
      <w:r>
        <w:rPr>
          <w:b/>
          <w:sz w:val="23"/>
        </w:rPr>
        <w:t>Prioritas 1 · Pulihkan kinerja PKS Sungai Rangkat</w:t>
      </w:r>
    </w:p>
    <w:p>
      <w:r>
        <w:t>PKS Sungai Rangkat mencatat rendemen terendah dalam grup, 20,30 persen pada Juli dibandingkan 22,72 persen pada Januari. Penyebab yang dilaporkan Engineering adalah keausan press cone dan screw press yang telah melewati batas 4.000 jam operasi, serta pemendekan siklus rebusan pada saat antrian TBS menumpuk. Tindakan: penggantian press cone dan screw sebelum 20 September 2026, dan pengembalian siklus rebusan ke standar 90 menit tanpa pengecualian.</w:t>
      </w:r>
    </w:p>
    <w:p>
      <w:r>
        <w:rPr>
          <w:b/>
          <w:sz w:val="23"/>
        </w:rPr>
        <w:t>Prioritas 2 · Tertibkan mutu panen di Estate Bukit Sekawan</w:t>
      </w:r>
    </w:p>
    <w:p>
      <w:r>
        <w:t>Skor mutu hancak Estate Bukit Sekawan afdeling C dan D berada di 68,1 dibandingkan rata-rata grup 85,5. Brondolan tidak terkutip mencapai 6,56 butir per pokok terhadap standar 2 butir. Rasio hancak di kedua afdeling mencapai 15,8 hektar per pemanen terhadap standar 12 hektar. Tindakan: penambahan tenaga panen, pendampingan harian untuk pemanen dengan masa kerja di bawah 6 bulan, dan evaluasi tiga mandor dengan skor terendah.</w:t>
      </w:r>
    </w:p>
    <w:p>
      <w:r>
        <w:rPr>
          <w:b/>
          <w:sz w:val="23"/>
        </w:rPr>
        <w:t>Prioritas 3 · Kembalikan disiplin pemupukan</w:t>
      </w:r>
    </w:p>
    <w:p>
      <w:r>
        <w:t>Realisasi pemupukan Semester 1 grup mencapai 82,7 persen, namun Estate Bukit Sekawan hanya 62,0 persen dan Estate Tanjung Lestari 61,3 persen. Sebanyak 64,2 persen blok di kedua estate menunjukkan kadar kalium daun di bawah nilai kritis 1,00 persen. Tindakan: percepatan pengiriman MOP dan NPK, serta penjadwalan ulang aplikasi agar tidak jatuh pada bulan dengan curah hujan di atas 300 milimeter.</w:t>
      </w:r>
    </w:p>
    <w:p>
      <w:r>
        <w:rPr>
          <w:b/>
          <w:sz w:val="23"/>
        </w:rPr>
        <w:t>Prioritas 4 · Tutup selisih data antar divisi</w:t>
      </w:r>
    </w:p>
    <w:p>
      <w:r>
        <w:t>Engineering, Agronomi EPR, SQA dan RND saat ini menyusun analisa dari sumber data yang berbeda sehingga rapat produksi bulanan lebih banyak menghabiskan waktu untuk menyamakan angka. Tindakan: seluruh divisi menggunakan satu set data konsolidasi mulai periode Agustus 2026.</w:t>
      </w:r>
    </w:p>
    <w:p>
      <w:r>
        <w:rPr>
          <w:b/>
          <w:color w:val="14532D"/>
          <w:sz w:val="27"/>
        </w:rPr>
        <w:t>Ukuran Keberhasilan Kuartal 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Indikator</w:t>
            </w:r>
          </w:p>
        </w:tc>
        <w:tc>
          <w:tcPr>
            <w:tcW w:type="dxa" w:w="2160"/>
          </w:tcPr>
          <w:p>
            <w:r>
              <w:rPr>
                <w:b/>
                <w:sz w:val="19"/>
              </w:rPr>
              <w:t>Posisi Juli 2026</w:t>
            </w:r>
          </w:p>
        </w:tc>
        <w:tc>
          <w:tcPr>
            <w:tcW w:type="dxa" w:w="2160"/>
          </w:tcPr>
          <w:p>
            <w:r>
              <w:rPr>
                <w:b/>
                <w:sz w:val="19"/>
              </w:rPr>
              <w:t>Target September 2026</w:t>
            </w:r>
          </w:p>
        </w:tc>
        <w:tc>
          <w:tcPr>
            <w:tcW w:type="dxa" w:w="2160"/>
          </w:tcPr>
          <w:p>
            <w:r>
              <w:rPr>
                <w:b/>
                <w:sz w:val="19"/>
              </w:rPr>
              <w:t>Penanggung jawab</w:t>
            </w:r>
          </w:p>
        </w:tc>
      </w:tr>
      <w:tr>
        <w:tc>
          <w:tcPr>
            <w:tcW w:type="dxa" w:w="2160"/>
          </w:tcPr>
          <w:p>
            <w:r>
              <w:rPr>
                <w:sz w:val="19"/>
              </w:rPr>
              <w:t>Rendemen grup (OER)</w:t>
            </w:r>
          </w:p>
        </w:tc>
        <w:tc>
          <w:tcPr>
            <w:tcW w:type="dxa" w:w="2160"/>
          </w:tcPr>
          <w:p>
            <w:r>
              <w:rPr>
                <w:sz w:val="19"/>
              </w:rPr>
              <w:t>21,18 persen</w:t>
            </w:r>
          </w:p>
        </w:tc>
        <w:tc>
          <w:tcPr>
            <w:tcW w:type="dxa" w:w="2160"/>
          </w:tcPr>
          <w:p>
            <w:r>
              <w:rPr>
                <w:sz w:val="19"/>
              </w:rPr>
              <w:t>22,40 persen</w:t>
            </w:r>
          </w:p>
        </w:tc>
        <w:tc>
          <w:tcPr>
            <w:tcW w:type="dxa" w:w="2160"/>
          </w:tcPr>
          <w:p>
            <w:r>
              <w:rPr>
                <w:sz w:val="19"/>
              </w:rPr>
              <w:t>Bayu Hardiman</w:t>
            </w:r>
          </w:p>
        </w:tc>
      </w:tr>
      <w:tr>
        <w:tc>
          <w:tcPr>
            <w:tcW w:type="dxa" w:w="2160"/>
          </w:tcPr>
          <w:p>
            <w:r>
              <w:rPr>
                <w:sz w:val="19"/>
              </w:rPr>
              <w:t>Rendemen PKS Sungai Rangkat</w:t>
            </w:r>
          </w:p>
        </w:tc>
        <w:tc>
          <w:tcPr>
            <w:tcW w:type="dxa" w:w="2160"/>
          </w:tcPr>
          <w:p>
            <w:r>
              <w:rPr>
                <w:sz w:val="19"/>
              </w:rPr>
              <w:t>20,30 persen</w:t>
            </w:r>
          </w:p>
        </w:tc>
        <w:tc>
          <w:tcPr>
            <w:tcW w:type="dxa" w:w="2160"/>
          </w:tcPr>
          <w:p>
            <w:r>
              <w:rPr>
                <w:sz w:val="19"/>
              </w:rPr>
              <w:t>22,00 persen</w:t>
            </w:r>
          </w:p>
        </w:tc>
        <w:tc>
          <w:tcPr>
            <w:tcW w:type="dxa" w:w="2160"/>
          </w:tcPr>
          <w:p>
            <w:r>
              <w:rPr>
                <w:sz w:val="19"/>
              </w:rPr>
              <w:t>Agus Prakoso</w:t>
            </w:r>
          </w:p>
        </w:tc>
      </w:tr>
      <w:tr>
        <w:tc>
          <w:tcPr>
            <w:tcW w:type="dxa" w:w="2160"/>
          </w:tcPr>
          <w:p>
            <w:r>
              <w:rPr>
                <w:sz w:val="19"/>
              </w:rPr>
              <w:t>Losses tandan kosong PKS Sungai Rangkat</w:t>
            </w:r>
          </w:p>
        </w:tc>
        <w:tc>
          <w:tcPr>
            <w:tcW w:type="dxa" w:w="2160"/>
          </w:tcPr>
          <w:p>
            <w:r>
              <w:rPr>
                <w:sz w:val="19"/>
              </w:rPr>
              <w:t>0,96 persen</w:t>
            </w:r>
          </w:p>
        </w:tc>
        <w:tc>
          <w:tcPr>
            <w:tcW w:type="dxa" w:w="2160"/>
          </w:tcPr>
          <w:p>
            <w:r>
              <w:rPr>
                <w:sz w:val="19"/>
              </w:rPr>
              <w:t>Di bawah 0,50 persen</w:t>
            </w:r>
          </w:p>
        </w:tc>
        <w:tc>
          <w:tcPr>
            <w:tcW w:type="dxa" w:w="2160"/>
          </w:tcPr>
          <w:p>
            <w:r>
              <w:rPr>
                <w:sz w:val="19"/>
              </w:rPr>
              <w:t>Agus Prakoso</w:t>
            </w:r>
          </w:p>
        </w:tc>
      </w:tr>
      <w:tr>
        <w:tc>
          <w:tcPr>
            <w:tcW w:type="dxa" w:w="2160"/>
          </w:tcPr>
          <w:p>
            <w:r>
              <w:rPr>
                <w:sz w:val="19"/>
              </w:rPr>
              <w:t>Skor mutu hancak Bukit Sekawan C dan D</w:t>
            </w:r>
          </w:p>
        </w:tc>
        <w:tc>
          <w:tcPr>
            <w:tcW w:type="dxa" w:w="2160"/>
          </w:tcPr>
          <w:p>
            <w:r>
              <w:rPr>
                <w:sz w:val="19"/>
              </w:rPr>
              <w:t>68,1</w:t>
            </w:r>
          </w:p>
        </w:tc>
        <w:tc>
          <w:tcPr>
            <w:tcW w:type="dxa" w:w="2160"/>
          </w:tcPr>
          <w:p>
            <w:r>
              <w:rPr>
                <w:sz w:val="19"/>
              </w:rPr>
              <w:t>80,0</w:t>
            </w:r>
          </w:p>
        </w:tc>
        <w:tc>
          <w:tcPr>
            <w:tcW w:type="dxa" w:w="2160"/>
          </w:tcPr>
          <w:p>
            <w:r>
              <w:rPr>
                <w:sz w:val="19"/>
              </w:rPr>
              <w:t>Tri Wibisono</w:t>
            </w:r>
          </w:p>
        </w:tc>
      </w:tr>
      <w:tr>
        <w:tc>
          <w:tcPr>
            <w:tcW w:type="dxa" w:w="2160"/>
          </w:tcPr>
          <w:p>
            <w:r>
              <w:rPr>
                <w:sz w:val="19"/>
              </w:rPr>
              <w:t>Brondolan tidak terkutip Bukit Sekawan C dan D</w:t>
            </w:r>
          </w:p>
        </w:tc>
        <w:tc>
          <w:tcPr>
            <w:tcW w:type="dxa" w:w="2160"/>
          </w:tcPr>
          <w:p>
            <w:r>
              <w:rPr>
                <w:sz w:val="19"/>
              </w:rPr>
              <w:t>6,56 butir per pokok</w:t>
            </w:r>
          </w:p>
        </w:tc>
        <w:tc>
          <w:tcPr>
            <w:tcW w:type="dxa" w:w="2160"/>
          </w:tcPr>
          <w:p>
            <w:r>
              <w:rPr>
                <w:sz w:val="19"/>
              </w:rPr>
              <w:t>Di bawah 3,0 butir per pokok</w:t>
            </w:r>
          </w:p>
        </w:tc>
        <w:tc>
          <w:tcPr>
            <w:tcW w:type="dxa" w:w="2160"/>
          </w:tcPr>
          <w:p>
            <w:r>
              <w:rPr>
                <w:sz w:val="19"/>
              </w:rPr>
              <w:t>Tantra Mahendra</w:t>
            </w:r>
          </w:p>
        </w:tc>
      </w:tr>
      <w:tr>
        <w:tc>
          <w:tcPr>
            <w:tcW w:type="dxa" w:w="2160"/>
          </w:tcPr>
          <w:p>
            <w:r>
              <w:rPr>
                <w:sz w:val="19"/>
              </w:rPr>
              <w:t>Realisasi pemupukan kumulatif</w:t>
            </w:r>
          </w:p>
        </w:tc>
        <w:tc>
          <w:tcPr>
            <w:tcW w:type="dxa" w:w="2160"/>
          </w:tcPr>
          <w:p>
            <w:r>
              <w:rPr>
                <w:sz w:val="19"/>
              </w:rPr>
              <w:t>82,7 persen</w:t>
            </w:r>
          </w:p>
        </w:tc>
        <w:tc>
          <w:tcPr>
            <w:tcW w:type="dxa" w:w="2160"/>
          </w:tcPr>
          <w:p>
            <w:r>
              <w:rPr>
                <w:sz w:val="19"/>
              </w:rPr>
              <w:t>95,0 persen</w:t>
            </w:r>
          </w:p>
        </w:tc>
        <w:tc>
          <w:tcPr>
            <w:tcW w:type="dxa" w:w="2160"/>
          </w:tcPr>
          <w:p>
            <w:r>
              <w:rPr>
                <w:sz w:val="19"/>
              </w:rPr>
              <w:t>Sadewa Kusuma Putra</w:t>
            </w:r>
          </w:p>
        </w:tc>
      </w:tr>
    </w:tbl>
    <w:p>
      <w:r>
        <w:t>Ratna Kusumaningrum, Direktur Operasi.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