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Rokan Jaya Afdeling B</w:t>
      </w:r>
    </w:p>
    <w:p>
      <w:r>
        <w:rPr>
          <w:i/>
          <w:sz w:val="21"/>
        </w:rPr>
        <w:t>Tanggal kunjungan 22 Juli 2026 · Pemeriksa Hadi Ismawan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Estate dengan produktivitas tertinggi grup, 15,08 ton per hektar sampai Juli.</w:t>
      </w:r>
    </w:p>
    <w:p>
      <w:r>
        <w:rPr>
          <w:b/>
          <w:sz w:val="23"/>
        </w:rPr>
        <w:t>Temuan Lapangan</w:t>
      </w:r>
    </w:p>
    <w:p>
      <w:r>
        <w:t>Rotasi panen terjaga 6 hari. Realisasi pemupukan Semester 1 mencapai 92,6 persen. Tidak ada blok dengan kalium di bawah nilai kritis.</w:t>
      </w:r>
    </w:p>
    <w:p>
      <w:r>
        <w:rPr>
          <w:b/>
          <w:sz w:val="23"/>
        </w:rPr>
        <w:t>Rekomendasi</w:t>
      </w:r>
    </w:p>
    <w:p>
      <w:r>
        <w:t>Dokumentasikan pola pengaturan tenaga panen di estate ini untuk direplikasi di Bukit Sekawan.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Dokumentasikan pola pengaturan tenaga panen di estate ini untuk direplikasi di Bukit Sekawan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Hadi Ismawan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