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Delivery Mix Growth — Outlet Performance Review</w:t>
      </w:r>
    </w:p>
    <w:p>
      <w:r>
        <w:t>Contoso Pizza Co · Strategic Memo · Internal · 05 June 2026</w:t>
      </w:r>
    </w:p>
    <w:p/>
    <w:p>
      <w:pPr>
        <w:pStyle w:val="Heading1"/>
      </w:pPr>
      <w:r>
        <w:t>Executive Summary</w:t>
      </w:r>
    </w:p>
    <w:p>
      <w:r>
        <w:t>Delivery mix has reached 38% nationally — up 4 points YoY — but ticket size has compressed by 6% as aggregator promos intensify. We recommend a Lebaran campaign that protects ticket through bundled value sets, a breakfast-occasion pilot in 12 outlets, and a tightening of food-cost controls at the bottom-decile sites.</w:t>
      </w:r>
    </w:p>
    <w:p>
      <w:pPr>
        <w:pStyle w:val="Heading1"/>
      </w:pPr>
      <w:r>
        <w:t>Where we are</w:t>
      </w:r>
    </w:p>
    <w:p>
      <w:pPr>
        <w:pStyle w:val="ListBullet"/>
      </w:pPr>
      <w:r>
        <w:t>Same-Store Sales Growth % — current YTD vs plan; full breakdown in 02 Contoso_KPI_Dashboard.xlsx.</w:t>
      </w:r>
    </w:p>
    <w:p>
      <w:pPr>
        <w:pStyle w:val="ListBullet"/>
      </w:pPr>
      <w:r>
        <w:t>Avg Ticket (IDR k) — current YTD vs plan; full breakdown in 02 Contoso_KPI_Dashboard.xlsx.</w:t>
      </w:r>
    </w:p>
    <w:p>
      <w:pPr>
        <w:pStyle w:val="ListBullet"/>
      </w:pPr>
      <w:r>
        <w:t>Delivery Mix % — current YTD vs plan; full breakdown in 02 Contoso_KPI_Dashboard.xlsx.</w:t>
      </w:r>
    </w:p>
    <w:p>
      <w:pPr>
        <w:pStyle w:val="Heading1"/>
      </w:pPr>
      <w:r>
        <w:t>Three Strategic Priorities (FY26 H2)</w:t>
      </w:r>
    </w:p>
    <w:p>
      <w:pPr>
        <w:pStyle w:val="ListNumber"/>
      </w:pPr>
      <w:r>
        <w:t>Lebaran bundled value-set campaign protecting ticket.</w:t>
      </w:r>
    </w:p>
    <w:p>
      <w:pPr>
        <w:pStyle w:val="ListNumber"/>
      </w:pPr>
      <w:r>
        <w:t>Breakfast-occasion pilot in 12 PHD outlets.</w:t>
      </w:r>
    </w:p>
    <w:p>
      <w:pPr>
        <w:pStyle w:val="ListNumber"/>
      </w:pPr>
      <w:r>
        <w:t>Food-cost tightening at bottom-decile outlets (target -1.5 pts).</w:t>
      </w:r>
    </w:p>
    <w:p>
      <w:pPr>
        <w:pStyle w:val="Heading1"/>
      </w:pPr>
      <w:r>
        <w:t>Recommended Decision</w:t>
      </w:r>
    </w:p>
    <w:p>
      <w:r>
        <w:t>The Operations Committee is asked to (i) approve the FY26 H2 priorities, (ii) endorse the capex envelope outlined in the appendix, and (iii) authorise the GM to commission a 90-day delivery plan.</w:t>
      </w:r>
    </w:p>
    <w:p>
      <w:pPr>
        <w:pStyle w:val="Heading1"/>
      </w:pPr>
      <w:r>
        <w:t>Risks &amp; Open Questions</w:t>
      </w:r>
    </w:p>
    <w:p>
      <w:pPr>
        <w:pStyle w:val="ListBullet"/>
      </w:pPr>
      <w:r>
        <w:t>Funding envelope confirmation — pending CFO.</w:t>
      </w:r>
    </w:p>
    <w:p>
      <w:pPr>
        <w:pStyle w:val="ListBullet"/>
      </w:pPr>
      <w:r>
        <w:t>Regulatory timeline (where applicable).</w:t>
      </w:r>
    </w:p>
    <w:p>
      <w:pPr>
        <w:pStyle w:val="ListBullet"/>
      </w:pPr>
      <w:r>
        <w:t>Talent availability for accelerated rollout — see HR shortlist.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