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C8102E"/>
          <w:sz w:val="44"/>
        </w:rPr>
        <w:t>Contoso General Assurance Indonesia</w:t>
      </w:r>
    </w:p>
    <w:p>
      <w:r>
        <w:rPr>
          <w:b/>
          <w:color w:val="2A2A2A"/>
          <w:sz w:val="30"/>
        </w:rPr>
        <w:t>Project Status Report</w:t>
      </w:r>
    </w:p>
    <w:p>
      <w:r>
        <w:rPr>
          <w:b/>
          <w:i w:val="0"/>
          <w:color w:val="2A2A2A"/>
          <w:sz w:val="22"/>
        </w:rPr>
        <w:t>Project: Core Insurance Platform Modernisation (CIPM) — Wave 2</w:t>
      </w:r>
    </w:p>
    <w:p>
      <w:r>
        <w:rPr>
          <w:b w:val="0"/>
          <w:i w:val="0"/>
          <w:color w:val="2A2A2A"/>
          <w:sz w:val="22"/>
        </w:rPr>
        <w:t>Reporting period: 01 Jun 2026 to 30 Jun 2026</w:t>
      </w:r>
    </w:p>
    <w:p>
      <w:r>
        <w:rPr>
          <w:b w:val="0"/>
          <w:i w:val="0"/>
          <w:color w:val="2A2A2A"/>
          <w:sz w:val="22"/>
        </w:rPr>
        <w:t>Prepared by: Rina Halim, Senior Project Manager, PMO</w:t>
      </w:r>
    </w:p>
    <w:p>
      <w:r>
        <w:rPr>
          <w:b w:val="0"/>
          <w:i w:val="0"/>
          <w:color w:val="2A2A2A"/>
          <w:sz w:val="22"/>
        </w:rPr>
        <w:t>Approver: Budi Santoso, Chief Transformation Officer</w:t>
      </w:r>
    </w:p>
    <w:p>
      <w:r>
        <w:rPr>
          <w:b w:val="0"/>
          <w:i w:val="0"/>
          <w:color w:val="2A2A2A"/>
          <w:sz w:val="22"/>
        </w:rPr>
        <w:t>Classification: Internal, PMO circulation</w:t>
      </w:r>
    </w:p>
    <w:p>
      <w:r>
        <w:t>__________________________________________________________________________________________</w:t>
      </w:r>
    </w:p>
    <w:p>
      <w:r>
        <w:rPr>
          <w:b/>
          <w:color w:val="2A2A2A"/>
          <w:sz w:val="26"/>
        </w:rPr>
        <w:t>1. Executive summary</w:t>
      </w:r>
    </w:p>
    <w:p>
      <w:r>
        <w:rPr>
          <w:b w:val="0"/>
          <w:i w:val="0"/>
          <w:color w:val="2A2A2A"/>
          <w:sz w:val="22"/>
        </w:rPr>
        <w:t>The Core Insurance Platform Modernisation programme (Wave 2) covers the migration of the commercial property, motor and marine cargo lines from the legacy MainPolicy AS/400 platform onto the new cloud-native policy administration system. Wave 2 is currently AMBER: the build stream is on schedule but user acceptance testing for the marine cargo module is trending three weeks behind plan due to open defects in the endorsement calculation engine and delayed sign-off from the reinsurance team. Programme spend remains within tolerance at 62 percent of approved budget with 58 percent of the plan elapsed.</w:t>
      </w:r>
    </w:p>
    <w:p>
      <w:r>
        <w:rPr>
          <w:b/>
          <w:color w:val="2A2A2A"/>
          <w:sz w:val="26"/>
        </w:rPr>
        <w:t>2. RAG status by workstream</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t>Workstream</w:t>
            </w:r>
          </w:p>
        </w:tc>
        <w:tc>
          <w:tcPr>
            <w:tcW w:type="dxa" w:w="2436"/>
          </w:tcPr>
          <w:p>
            <w:r>
              <w:t>Status</w:t>
            </w:r>
          </w:p>
        </w:tc>
        <w:tc>
          <w:tcPr>
            <w:tcW w:type="dxa" w:w="2436"/>
          </w:tcPr>
          <w:p>
            <w:r>
              <w:t>Trend</w:t>
            </w:r>
          </w:p>
        </w:tc>
        <w:tc>
          <w:tcPr>
            <w:tcW w:type="dxa" w:w="2436"/>
          </w:tcPr>
          <w:p>
            <w:r>
              <w:t>Notes</w:t>
            </w:r>
          </w:p>
        </w:tc>
      </w:tr>
      <w:tr>
        <w:tc>
          <w:tcPr>
            <w:tcW w:type="dxa" w:w="2436"/>
          </w:tcPr>
          <w:p>
            <w:r>
              <w:t>Commercial property migration</w:t>
            </w:r>
          </w:p>
        </w:tc>
        <w:tc>
          <w:tcPr>
            <w:tcW w:type="dxa" w:w="2436"/>
          </w:tcPr>
          <w:p>
            <w:r>
              <w:t>Green</w:t>
            </w:r>
          </w:p>
        </w:tc>
        <w:tc>
          <w:tcPr>
            <w:tcW w:type="dxa" w:w="2436"/>
          </w:tcPr>
          <w:p>
            <w:r>
              <w:t>Stable</w:t>
            </w:r>
          </w:p>
        </w:tc>
        <w:tc>
          <w:tcPr>
            <w:tcW w:type="dxa" w:w="2436"/>
          </w:tcPr>
          <w:p>
            <w:r>
              <w:t>Data reconciliation complete for 34,120 policies; cutover rehearsal 12 Jul.</w:t>
            </w:r>
          </w:p>
        </w:tc>
      </w:tr>
      <w:tr>
        <w:tc>
          <w:tcPr>
            <w:tcW w:type="dxa" w:w="2436"/>
          </w:tcPr>
          <w:p>
            <w:r>
              <w:t>Motor policy migration</w:t>
            </w:r>
          </w:p>
        </w:tc>
        <w:tc>
          <w:tcPr>
            <w:tcW w:type="dxa" w:w="2436"/>
          </w:tcPr>
          <w:p>
            <w:r>
              <w:t>Green</w:t>
            </w:r>
          </w:p>
        </w:tc>
        <w:tc>
          <w:tcPr>
            <w:tcW w:type="dxa" w:w="2436"/>
          </w:tcPr>
          <w:p>
            <w:r>
              <w:t>Improving</w:t>
            </w:r>
          </w:p>
        </w:tc>
        <w:tc>
          <w:tcPr>
            <w:tcW w:type="dxa" w:w="2436"/>
          </w:tcPr>
          <w:p>
            <w:r>
              <w:t>Endorsement flows resolved; agent portal integration passed SIT.</w:t>
            </w:r>
          </w:p>
        </w:tc>
      </w:tr>
      <w:tr>
        <w:tc>
          <w:tcPr>
            <w:tcW w:type="dxa" w:w="2436"/>
          </w:tcPr>
          <w:p>
            <w:r>
              <w:t>Marine cargo migration</w:t>
            </w:r>
          </w:p>
        </w:tc>
        <w:tc>
          <w:tcPr>
            <w:tcW w:type="dxa" w:w="2436"/>
          </w:tcPr>
          <w:p>
            <w:r>
              <w:t>Amber</w:t>
            </w:r>
          </w:p>
        </w:tc>
        <w:tc>
          <w:tcPr>
            <w:tcW w:type="dxa" w:w="2436"/>
          </w:tcPr>
          <w:p>
            <w:r>
              <w:t>Deteriorating</w:t>
            </w:r>
          </w:p>
        </w:tc>
        <w:tc>
          <w:tcPr>
            <w:tcW w:type="dxa" w:w="2436"/>
          </w:tcPr>
          <w:p>
            <w:r>
              <w:t>UAT 3 weeks behind; endorsement calc defects; reinsurance sign-off pending.</w:t>
            </w:r>
          </w:p>
        </w:tc>
      </w:tr>
      <w:tr>
        <w:tc>
          <w:tcPr>
            <w:tcW w:type="dxa" w:w="2436"/>
          </w:tcPr>
          <w:p>
            <w:r>
              <w:t>Broker portal uplift</w:t>
            </w:r>
          </w:p>
        </w:tc>
        <w:tc>
          <w:tcPr>
            <w:tcW w:type="dxa" w:w="2436"/>
          </w:tcPr>
          <w:p>
            <w:r>
              <w:t>Green</w:t>
            </w:r>
          </w:p>
        </w:tc>
        <w:tc>
          <w:tcPr>
            <w:tcW w:type="dxa" w:w="2436"/>
          </w:tcPr>
          <w:p>
            <w:r>
              <w:t>Stable</w:t>
            </w:r>
          </w:p>
        </w:tc>
        <w:tc>
          <w:tcPr>
            <w:tcW w:type="dxa" w:w="2436"/>
          </w:tcPr>
          <w:p>
            <w:r>
              <w:t>Phase 1 features live for 8 pilot brokers in Jakarta and Surabaya.</w:t>
            </w:r>
          </w:p>
        </w:tc>
      </w:tr>
      <w:tr>
        <w:tc>
          <w:tcPr>
            <w:tcW w:type="dxa" w:w="2436"/>
          </w:tcPr>
          <w:p>
            <w:r>
              <w:t>Regulatory reporting (SIPP)</w:t>
            </w:r>
          </w:p>
        </w:tc>
        <w:tc>
          <w:tcPr>
            <w:tcW w:type="dxa" w:w="2436"/>
          </w:tcPr>
          <w:p>
            <w:r>
              <w:t>Amber</w:t>
            </w:r>
          </w:p>
        </w:tc>
        <w:tc>
          <w:tcPr>
            <w:tcW w:type="dxa" w:w="2436"/>
          </w:tcPr>
          <w:p>
            <w:r>
              <w:t>Stable</w:t>
            </w:r>
          </w:p>
        </w:tc>
        <w:tc>
          <w:tcPr>
            <w:tcW w:type="dxa" w:w="2436"/>
          </w:tcPr>
          <w:p>
            <w:r>
              <w:t>OJK reporting extract needs additional field for sharia designation.</w:t>
            </w:r>
          </w:p>
        </w:tc>
      </w:tr>
      <w:tr>
        <w:tc>
          <w:tcPr>
            <w:tcW w:type="dxa" w:w="2436"/>
          </w:tcPr>
          <w:p>
            <w:r>
              <w:t>Data migration and cleansing</w:t>
            </w:r>
          </w:p>
        </w:tc>
        <w:tc>
          <w:tcPr>
            <w:tcW w:type="dxa" w:w="2436"/>
          </w:tcPr>
          <w:p>
            <w:r>
              <w:t>Green</w:t>
            </w:r>
          </w:p>
        </w:tc>
        <w:tc>
          <w:tcPr>
            <w:tcW w:type="dxa" w:w="2436"/>
          </w:tcPr>
          <w:p>
            <w:r>
              <w:t>Stable</w:t>
            </w:r>
          </w:p>
        </w:tc>
        <w:tc>
          <w:tcPr>
            <w:tcW w:type="dxa" w:w="2436"/>
          </w:tcPr>
          <w:p>
            <w:r>
              <w:t>Duplicate customer records reduced from 4.2 percent to 0.7 percent.</w:t>
            </w:r>
          </w:p>
        </w:tc>
      </w:tr>
      <w:tr>
        <w:tc>
          <w:tcPr>
            <w:tcW w:type="dxa" w:w="2436"/>
          </w:tcPr>
          <w:p>
            <w:r>
              <w:t>Change management and training</w:t>
            </w:r>
          </w:p>
        </w:tc>
        <w:tc>
          <w:tcPr>
            <w:tcW w:type="dxa" w:w="2436"/>
          </w:tcPr>
          <w:p>
            <w:r>
              <w:t>Green</w:t>
            </w:r>
          </w:p>
        </w:tc>
        <w:tc>
          <w:tcPr>
            <w:tcW w:type="dxa" w:w="2436"/>
          </w:tcPr>
          <w:p>
            <w:r>
              <w:t>Improving</w:t>
            </w:r>
          </w:p>
        </w:tc>
        <w:tc>
          <w:tcPr>
            <w:tcW w:type="dxa" w:w="2436"/>
          </w:tcPr>
          <w:p>
            <w:r>
              <w:t>72 percent of underwriters completed platform onboarding module.</w:t>
            </w:r>
          </w:p>
        </w:tc>
      </w:tr>
      <w:tr>
        <w:tc>
          <w:tcPr>
            <w:tcW w:type="dxa" w:w="2436"/>
          </w:tcPr>
          <w:p>
            <w:r>
              <w:t>Cybersecurity and IAM</w:t>
            </w:r>
          </w:p>
        </w:tc>
        <w:tc>
          <w:tcPr>
            <w:tcW w:type="dxa" w:w="2436"/>
          </w:tcPr>
          <w:p>
            <w:r>
              <w:t>Green</w:t>
            </w:r>
          </w:p>
        </w:tc>
        <w:tc>
          <w:tcPr>
            <w:tcW w:type="dxa" w:w="2436"/>
          </w:tcPr>
          <w:p>
            <w:r>
              <w:t>Stable</w:t>
            </w:r>
          </w:p>
        </w:tc>
        <w:tc>
          <w:tcPr>
            <w:tcW w:type="dxa" w:w="2436"/>
          </w:tcPr>
          <w:p>
            <w:r>
              <w:t>SSO integration complete; privileged access review scheduled Jul 22.</w:t>
            </w:r>
          </w:p>
        </w:tc>
      </w:tr>
    </w:tbl>
    <w:p>
      <w:r>
        <w:rPr>
          <w:b/>
          <w:color w:val="2A2A2A"/>
          <w:sz w:val="26"/>
        </w:rPr>
        <w:t>3. Milestones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t>Milestone</w:t>
            </w:r>
          </w:p>
        </w:tc>
        <w:tc>
          <w:tcPr>
            <w:tcW w:type="dxa" w:w="2436"/>
          </w:tcPr>
          <w:p>
            <w:r>
              <w:t>Planned</w:t>
            </w:r>
          </w:p>
        </w:tc>
        <w:tc>
          <w:tcPr>
            <w:tcW w:type="dxa" w:w="2436"/>
          </w:tcPr>
          <w:p>
            <w:r>
              <w:t>Forecast</w:t>
            </w:r>
          </w:p>
        </w:tc>
        <w:tc>
          <w:tcPr>
            <w:tcW w:type="dxa" w:w="2436"/>
          </w:tcPr>
          <w:p>
            <w:r>
              <w:t>Status</w:t>
            </w:r>
          </w:p>
        </w:tc>
      </w:tr>
      <w:tr>
        <w:tc>
          <w:tcPr>
            <w:tcW w:type="dxa" w:w="2436"/>
          </w:tcPr>
          <w:p>
            <w:r>
              <w:t>Property module cutover rehearsal</w:t>
            </w:r>
          </w:p>
        </w:tc>
        <w:tc>
          <w:tcPr>
            <w:tcW w:type="dxa" w:w="2436"/>
          </w:tcPr>
          <w:p>
            <w:r>
              <w:t>12 Jul 2026</w:t>
            </w:r>
          </w:p>
        </w:tc>
        <w:tc>
          <w:tcPr>
            <w:tcW w:type="dxa" w:w="2436"/>
          </w:tcPr>
          <w:p>
            <w:r>
              <w:t>12 Jul 2026</w:t>
            </w:r>
          </w:p>
        </w:tc>
        <w:tc>
          <w:tcPr>
            <w:tcW w:type="dxa" w:w="2436"/>
          </w:tcPr>
          <w:p>
            <w:r>
              <w:t>On track</w:t>
            </w:r>
          </w:p>
        </w:tc>
      </w:tr>
      <w:tr>
        <w:tc>
          <w:tcPr>
            <w:tcW w:type="dxa" w:w="2436"/>
          </w:tcPr>
          <w:p>
            <w:r>
              <w:t>Motor module go live</w:t>
            </w:r>
          </w:p>
        </w:tc>
        <w:tc>
          <w:tcPr>
            <w:tcW w:type="dxa" w:w="2436"/>
          </w:tcPr>
          <w:p>
            <w:r>
              <w:t>26 Jul 2026</w:t>
            </w:r>
          </w:p>
        </w:tc>
        <w:tc>
          <w:tcPr>
            <w:tcW w:type="dxa" w:w="2436"/>
          </w:tcPr>
          <w:p>
            <w:r>
              <w:t>26 Jul 2026</w:t>
            </w:r>
          </w:p>
        </w:tc>
        <w:tc>
          <w:tcPr>
            <w:tcW w:type="dxa" w:w="2436"/>
          </w:tcPr>
          <w:p>
            <w:r>
              <w:t>On track</w:t>
            </w:r>
          </w:p>
        </w:tc>
      </w:tr>
      <w:tr>
        <w:tc>
          <w:tcPr>
            <w:tcW w:type="dxa" w:w="2436"/>
          </w:tcPr>
          <w:p>
            <w:r>
              <w:t>Marine cargo UAT sign off</w:t>
            </w:r>
          </w:p>
        </w:tc>
        <w:tc>
          <w:tcPr>
            <w:tcW w:type="dxa" w:w="2436"/>
          </w:tcPr>
          <w:p>
            <w:r>
              <w:t>15 Jul 2026</w:t>
            </w:r>
          </w:p>
        </w:tc>
        <w:tc>
          <w:tcPr>
            <w:tcW w:type="dxa" w:w="2436"/>
          </w:tcPr>
          <w:p>
            <w:r>
              <w:t>05 Aug 2026</w:t>
            </w:r>
          </w:p>
        </w:tc>
        <w:tc>
          <w:tcPr>
            <w:tcW w:type="dxa" w:w="2436"/>
          </w:tcPr>
          <w:p>
            <w:r>
              <w:t>Slipped 21 days</w:t>
            </w:r>
          </w:p>
        </w:tc>
      </w:tr>
      <w:tr>
        <w:tc>
          <w:tcPr>
            <w:tcW w:type="dxa" w:w="2436"/>
          </w:tcPr>
          <w:p>
            <w:r>
              <w:t>Marine cargo go live</w:t>
            </w:r>
          </w:p>
        </w:tc>
        <w:tc>
          <w:tcPr>
            <w:tcW w:type="dxa" w:w="2436"/>
          </w:tcPr>
          <w:p>
            <w:r>
              <w:t>23 Aug 2026</w:t>
            </w:r>
          </w:p>
        </w:tc>
        <w:tc>
          <w:tcPr>
            <w:tcW w:type="dxa" w:w="2436"/>
          </w:tcPr>
          <w:p>
            <w:r>
              <w:t>13 Sep 2026</w:t>
            </w:r>
          </w:p>
        </w:tc>
        <w:tc>
          <w:tcPr>
            <w:tcW w:type="dxa" w:w="2436"/>
          </w:tcPr>
          <w:p>
            <w:r>
              <w:t>At risk</w:t>
            </w:r>
          </w:p>
        </w:tc>
      </w:tr>
      <w:tr>
        <w:tc>
          <w:tcPr>
            <w:tcW w:type="dxa" w:w="2436"/>
          </w:tcPr>
          <w:p>
            <w:r>
              <w:t>Broker portal Phase 2 launch</w:t>
            </w:r>
          </w:p>
        </w:tc>
        <w:tc>
          <w:tcPr>
            <w:tcW w:type="dxa" w:w="2436"/>
          </w:tcPr>
          <w:p>
            <w:r>
              <w:t>05 Sep 2026</w:t>
            </w:r>
          </w:p>
        </w:tc>
        <w:tc>
          <w:tcPr>
            <w:tcW w:type="dxa" w:w="2436"/>
          </w:tcPr>
          <w:p>
            <w:r>
              <w:t>05 Sep 2026</w:t>
            </w:r>
          </w:p>
        </w:tc>
        <w:tc>
          <w:tcPr>
            <w:tcW w:type="dxa" w:w="2436"/>
          </w:tcPr>
          <w:p>
            <w:r>
              <w:t>On track</w:t>
            </w:r>
          </w:p>
        </w:tc>
      </w:tr>
      <w:tr>
        <w:tc>
          <w:tcPr>
            <w:tcW w:type="dxa" w:w="2436"/>
          </w:tcPr>
          <w:p>
            <w:r>
              <w:t>OJK SIPP field extension deployed</w:t>
            </w:r>
          </w:p>
        </w:tc>
        <w:tc>
          <w:tcPr>
            <w:tcW w:type="dxa" w:w="2436"/>
          </w:tcPr>
          <w:p>
            <w:r>
              <w:t>20 Aug 2026</w:t>
            </w:r>
          </w:p>
        </w:tc>
        <w:tc>
          <w:tcPr>
            <w:tcW w:type="dxa" w:w="2436"/>
          </w:tcPr>
          <w:p>
            <w:r>
              <w:t>27 Aug 2026</w:t>
            </w:r>
          </w:p>
        </w:tc>
        <w:tc>
          <w:tcPr>
            <w:tcW w:type="dxa" w:w="2436"/>
          </w:tcPr>
          <w:p>
            <w:r>
              <w:t>Watch</w:t>
            </w:r>
          </w:p>
        </w:tc>
      </w:tr>
      <w:tr>
        <w:tc>
          <w:tcPr>
            <w:tcW w:type="dxa" w:w="2436"/>
          </w:tcPr>
          <w:p>
            <w:r>
              <w:t>Legacy AS/400 decommission (soft)</w:t>
            </w:r>
          </w:p>
        </w:tc>
        <w:tc>
          <w:tcPr>
            <w:tcW w:type="dxa" w:w="2436"/>
          </w:tcPr>
          <w:p>
            <w:r>
              <w:t>31 Oct 2026</w:t>
            </w:r>
          </w:p>
        </w:tc>
        <w:tc>
          <w:tcPr>
            <w:tcW w:type="dxa" w:w="2436"/>
          </w:tcPr>
          <w:p>
            <w:r>
              <w:t>07 Nov 2026</w:t>
            </w:r>
          </w:p>
        </w:tc>
        <w:tc>
          <w:tcPr>
            <w:tcW w:type="dxa" w:w="2436"/>
          </w:tcPr>
          <w:p>
            <w:r>
              <w:t>Watch</w:t>
            </w:r>
          </w:p>
        </w:tc>
      </w:tr>
      <w:tr>
        <w:tc>
          <w:tcPr>
            <w:tcW w:type="dxa" w:w="2436"/>
          </w:tcPr>
          <w:p>
            <w:r>
              <w:t>Wave 2 closure gate</w:t>
            </w:r>
          </w:p>
        </w:tc>
        <w:tc>
          <w:tcPr>
            <w:tcW w:type="dxa" w:w="2436"/>
          </w:tcPr>
          <w:p>
            <w:r>
              <w:t>22 Nov 2026</w:t>
            </w:r>
          </w:p>
        </w:tc>
        <w:tc>
          <w:tcPr>
            <w:tcW w:type="dxa" w:w="2436"/>
          </w:tcPr>
          <w:p>
            <w:r>
              <w:t>29 Nov 2026</w:t>
            </w:r>
          </w:p>
        </w:tc>
        <w:tc>
          <w:tcPr>
            <w:tcW w:type="dxa" w:w="2436"/>
          </w:tcPr>
          <w:p>
            <w:r>
              <w:t>Watch</w:t>
            </w:r>
          </w:p>
        </w:tc>
      </w:tr>
    </w:tbl>
    <w:p>
      <w:r>
        <w:rPr>
          <w:b/>
          <w:color w:val="2A2A2A"/>
          <w:sz w:val="26"/>
        </w:rPr>
        <w:t>4. Key risks and issues (top 5)</w:t>
      </w:r>
    </w:p>
    <w:p>
      <w:r>
        <w:rPr>
          <w:b w:val="0"/>
          <w:i w:val="0"/>
          <w:color w:val="2A2A2A"/>
          <w:sz w:val="21"/>
        </w:rPr>
        <w:t>[R-014] Marine cargo endorsement calculation defects may push go live into Q4 and collide with the property renewal season peak. Owner: Head of Marine Underwriting.</w:t>
      </w:r>
    </w:p>
    <w:p>
      <w:r>
        <w:rPr>
          <w:b w:val="0"/>
          <w:i w:val="0"/>
          <w:color w:val="2A2A2A"/>
          <w:sz w:val="21"/>
        </w:rPr>
        <w:t>[R-021] Reinsurance team capacity limited to two reviewers during Jul and Aug due to treaty renewals. Owner: Head of Ceded Reinsurance.</w:t>
      </w:r>
    </w:p>
    <w:p>
      <w:r>
        <w:rPr>
          <w:b w:val="0"/>
          <w:i w:val="0"/>
          <w:color w:val="2A2A2A"/>
          <w:sz w:val="21"/>
        </w:rPr>
        <w:t>[R-027] OJK sharia field extension may require re-running the historic 24 month data migration. Owner: Data Migration Lead.</w:t>
      </w:r>
    </w:p>
    <w:p>
      <w:r>
        <w:rPr>
          <w:b w:val="0"/>
          <w:i w:val="0"/>
          <w:color w:val="2A2A2A"/>
          <w:sz w:val="21"/>
        </w:rPr>
        <w:t>[I-009] Two of eight pilot brokers reported password reset failures in the broker portal on 18 Jun. Root cause traced to Azure B2C policy misconfiguration. Fix in flight.</w:t>
      </w:r>
    </w:p>
    <w:p>
      <w:r>
        <w:rPr>
          <w:b w:val="0"/>
          <w:i w:val="0"/>
          <w:color w:val="2A2A2A"/>
          <w:sz w:val="21"/>
        </w:rPr>
        <w:t>[R-033] Vendor delivery lead departing 31 Jul 2026 without confirmed successor. Owner: Vendor Manager.</w:t>
      </w:r>
    </w:p>
    <w:p>
      <w:r>
        <w:rPr>
          <w:b/>
          <w:color w:val="2A2A2A"/>
          <w:sz w:val="26"/>
        </w:rPr>
        <w:t>5. Budget summary</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t>Category</w:t>
            </w:r>
          </w:p>
        </w:tc>
        <w:tc>
          <w:tcPr>
            <w:tcW w:type="dxa" w:w="2436"/>
          </w:tcPr>
          <w:p>
            <w:r>
              <w:t>Approved (IDR bn)</w:t>
            </w:r>
          </w:p>
        </w:tc>
        <w:tc>
          <w:tcPr>
            <w:tcW w:type="dxa" w:w="2436"/>
          </w:tcPr>
          <w:p>
            <w:r>
              <w:t>Actual to date (IDR bn)</w:t>
            </w:r>
          </w:p>
        </w:tc>
        <w:tc>
          <w:tcPr>
            <w:tcW w:type="dxa" w:w="2436"/>
          </w:tcPr>
          <w:p>
            <w:r>
              <w:t>Variance</w:t>
            </w:r>
          </w:p>
        </w:tc>
      </w:tr>
      <w:tr>
        <w:tc>
          <w:tcPr>
            <w:tcW w:type="dxa" w:w="2436"/>
          </w:tcPr>
          <w:p>
            <w:r>
              <w:t>Software licences and cloud consumption</w:t>
            </w:r>
          </w:p>
        </w:tc>
        <w:tc>
          <w:tcPr>
            <w:tcW w:type="dxa" w:w="2436"/>
          </w:tcPr>
          <w:p>
            <w:r>
              <w:t>18.4</w:t>
            </w:r>
          </w:p>
        </w:tc>
        <w:tc>
          <w:tcPr>
            <w:tcW w:type="dxa" w:w="2436"/>
          </w:tcPr>
          <w:p>
            <w:r>
              <w:t>10.7</w:t>
            </w:r>
          </w:p>
        </w:tc>
        <w:tc>
          <w:tcPr>
            <w:tcW w:type="dxa" w:w="2436"/>
          </w:tcPr>
          <w:p>
            <w:r>
              <w:t>58 percent</w:t>
            </w:r>
          </w:p>
        </w:tc>
      </w:tr>
      <w:tr>
        <w:tc>
          <w:tcPr>
            <w:tcW w:type="dxa" w:w="2436"/>
          </w:tcPr>
          <w:p>
            <w:r>
              <w:t>Systems integrator fees</w:t>
            </w:r>
          </w:p>
        </w:tc>
        <w:tc>
          <w:tcPr>
            <w:tcW w:type="dxa" w:w="2436"/>
          </w:tcPr>
          <w:p>
            <w:r>
              <w:t>42.0</w:t>
            </w:r>
          </w:p>
        </w:tc>
        <w:tc>
          <w:tcPr>
            <w:tcW w:type="dxa" w:w="2436"/>
          </w:tcPr>
          <w:p>
            <w:r>
              <w:t>27.9</w:t>
            </w:r>
          </w:p>
        </w:tc>
        <w:tc>
          <w:tcPr>
            <w:tcW w:type="dxa" w:w="2436"/>
          </w:tcPr>
          <w:p>
            <w:r>
              <w:t>66 percent</w:t>
            </w:r>
          </w:p>
        </w:tc>
      </w:tr>
      <w:tr>
        <w:tc>
          <w:tcPr>
            <w:tcW w:type="dxa" w:w="2436"/>
          </w:tcPr>
          <w:p>
            <w:r>
              <w:t>Internal capex (hardware, DR)</w:t>
            </w:r>
          </w:p>
        </w:tc>
        <w:tc>
          <w:tcPr>
            <w:tcW w:type="dxa" w:w="2436"/>
          </w:tcPr>
          <w:p>
            <w:r>
              <w:t>11.2</w:t>
            </w:r>
          </w:p>
        </w:tc>
        <w:tc>
          <w:tcPr>
            <w:tcW w:type="dxa" w:w="2436"/>
          </w:tcPr>
          <w:p>
            <w:r>
              <w:t>6.1</w:t>
            </w:r>
          </w:p>
        </w:tc>
        <w:tc>
          <w:tcPr>
            <w:tcW w:type="dxa" w:w="2436"/>
          </w:tcPr>
          <w:p>
            <w:r>
              <w:t>54 percent</w:t>
            </w:r>
          </w:p>
        </w:tc>
      </w:tr>
      <w:tr>
        <w:tc>
          <w:tcPr>
            <w:tcW w:type="dxa" w:w="2436"/>
          </w:tcPr>
          <w:p>
            <w:r>
              <w:t>Change management and training</w:t>
            </w:r>
          </w:p>
        </w:tc>
        <w:tc>
          <w:tcPr>
            <w:tcW w:type="dxa" w:w="2436"/>
          </w:tcPr>
          <w:p>
            <w:r>
              <w:t>6.8</w:t>
            </w:r>
          </w:p>
        </w:tc>
        <w:tc>
          <w:tcPr>
            <w:tcW w:type="dxa" w:w="2436"/>
          </w:tcPr>
          <w:p>
            <w:r>
              <w:t>3.2</w:t>
            </w:r>
          </w:p>
        </w:tc>
        <w:tc>
          <w:tcPr>
            <w:tcW w:type="dxa" w:w="2436"/>
          </w:tcPr>
          <w:p>
            <w:r>
              <w:t>47 percent</w:t>
            </w:r>
          </w:p>
        </w:tc>
      </w:tr>
      <w:tr>
        <w:tc>
          <w:tcPr>
            <w:tcW w:type="dxa" w:w="2436"/>
          </w:tcPr>
          <w:p>
            <w:r>
              <w:t>Contingency (10 percent)</w:t>
            </w:r>
          </w:p>
        </w:tc>
        <w:tc>
          <w:tcPr>
            <w:tcW w:type="dxa" w:w="2436"/>
          </w:tcPr>
          <w:p>
            <w:r>
              <w:t>7.8</w:t>
            </w:r>
          </w:p>
        </w:tc>
        <w:tc>
          <w:tcPr>
            <w:tcW w:type="dxa" w:w="2436"/>
          </w:tcPr>
          <w:p>
            <w:r>
              <w:t>1.9</w:t>
            </w:r>
          </w:p>
        </w:tc>
        <w:tc>
          <w:tcPr>
            <w:tcW w:type="dxa" w:w="2436"/>
          </w:tcPr>
          <w:p>
            <w:r>
              <w:t>24 percent used</w:t>
            </w:r>
          </w:p>
        </w:tc>
      </w:tr>
      <w:tr>
        <w:tc>
          <w:tcPr>
            <w:tcW w:type="dxa" w:w="2436"/>
          </w:tcPr>
          <w:p>
            <w:r>
              <w:t>Total</w:t>
            </w:r>
          </w:p>
        </w:tc>
        <w:tc>
          <w:tcPr>
            <w:tcW w:type="dxa" w:w="2436"/>
          </w:tcPr>
          <w:p>
            <w:r>
              <w:t>86.2</w:t>
            </w:r>
          </w:p>
        </w:tc>
        <w:tc>
          <w:tcPr>
            <w:tcW w:type="dxa" w:w="2436"/>
          </w:tcPr>
          <w:p>
            <w:r>
              <w:t>49.8</w:t>
            </w:r>
          </w:p>
        </w:tc>
        <w:tc>
          <w:tcPr>
            <w:tcW w:type="dxa" w:w="2436"/>
          </w:tcPr>
          <w:p>
            <w:r>
              <w:t>58 percent</w:t>
            </w:r>
          </w:p>
        </w:tc>
      </w:tr>
    </w:tbl>
    <w:p>
      <w:r>
        <w:rPr>
          <w:b/>
          <w:color w:val="2A2A2A"/>
          <w:sz w:val="26"/>
        </w:rPr>
        <w:t>6. Decisions requested from the Steering Committee</w:t>
      </w:r>
    </w:p>
    <w:p>
      <w:pPr>
        <w:pStyle w:val="ListBullet"/>
      </w:pPr>
      <w:r>
        <w:rPr>
          <w:color w:val="2A2A2A"/>
          <w:sz w:val="22"/>
        </w:rPr>
        <w:t>Approve the revised marine cargo go live date of 13 Sep 2026 and the associated hyper-care extension.</w:t>
      </w:r>
    </w:p>
    <w:p>
      <w:pPr>
        <w:pStyle w:val="ListBullet"/>
      </w:pPr>
      <w:r>
        <w:rPr>
          <w:color w:val="2A2A2A"/>
          <w:sz w:val="22"/>
        </w:rPr>
        <w:t>Approve the reallocation of IDR 1.2 bn from training contingency into additional UAT capacity.</w:t>
      </w:r>
    </w:p>
    <w:p>
      <w:pPr>
        <w:pStyle w:val="ListBullet"/>
      </w:pPr>
      <w:r>
        <w:rPr>
          <w:color w:val="2A2A2A"/>
          <w:sz w:val="22"/>
        </w:rPr>
        <w:t>Endorse the plan to run a parallel run for the OJK SIPP submission during Aug 2026.</w:t>
      </w:r>
    </w:p>
    <w:p>
      <w:r>
        <w:rPr>
          <w:b/>
          <w:color w:val="2A2A2A"/>
          <w:sz w:val="26"/>
        </w:rPr>
        <w:t>7. Next reporting period focus</w:t>
      </w:r>
    </w:p>
    <w:p>
      <w:pPr>
        <w:pStyle w:val="ListBullet"/>
      </w:pPr>
      <w:r>
        <w:rPr>
          <w:color w:val="2A2A2A"/>
          <w:sz w:val="22"/>
        </w:rPr>
        <w:t>Close remaining 14 defects on the marine cargo endorsement engine.</w:t>
      </w:r>
    </w:p>
    <w:p>
      <w:pPr>
        <w:pStyle w:val="ListBullet"/>
      </w:pPr>
      <w:r>
        <w:rPr>
          <w:color w:val="2A2A2A"/>
          <w:sz w:val="22"/>
        </w:rPr>
        <w:t>Complete the property module cutover rehearsal on 12 Jul; capture lessons learned within 48 hours.</w:t>
      </w:r>
    </w:p>
    <w:p>
      <w:pPr>
        <w:pStyle w:val="ListBullet"/>
      </w:pPr>
      <w:r>
        <w:rPr>
          <w:color w:val="2A2A2A"/>
          <w:sz w:val="22"/>
        </w:rPr>
        <w:t>Run go live readiness review for the motor module on 22 Jul.</w:t>
      </w:r>
    </w:p>
    <w:p>
      <w:pPr>
        <w:pStyle w:val="ListBullet"/>
      </w:pPr>
      <w:r>
        <w:rPr>
          <w:color w:val="2A2A2A"/>
          <w:sz w:val="22"/>
        </w:rPr>
        <w:t>Refresh the risk register and re-baseline the marine cargo critical path.</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