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C8102E"/>
          <w:sz w:val="44"/>
        </w:rPr>
        <w:t>Contoso General Assurance Indonesia</w:t>
      </w:r>
    </w:p>
    <w:p>
      <w:r>
        <w:rPr>
          <w:b/>
          <w:color w:val="2A2A2A"/>
          <w:sz w:val="30"/>
        </w:rPr>
        <w:t>Steering Committee Brief (raw notes)</w:t>
      </w:r>
    </w:p>
    <w:p>
      <w:r>
        <w:rPr>
          <w:b/>
          <w:i w:val="0"/>
          <w:color w:val="2A2A2A"/>
          <w:sz w:val="22"/>
        </w:rPr>
        <w:t>For the Q3 2026 CIPM Steering Committee, 17 Jul 2026</w:t>
      </w:r>
    </w:p>
    <w:p>
      <w:r>
        <w:rPr>
          <w:b w:val="0"/>
          <w:i/>
          <w:color w:val="6B7280"/>
          <w:sz w:val="22"/>
        </w:rPr>
        <w:t>Author: Rina Halim, PMO. Reviewer: Budi Santoso, CTO. Status: DRAFT, not yet formatted.</w:t>
      </w:r>
    </w:p>
    <w:p>
      <w:r>
        <w:t>__________________________________________________________________________________________</w:t>
      </w:r>
    </w:p>
    <w:p>
      <w:r>
        <w:rPr>
          <w:b/>
          <w:color w:val="2A2A2A"/>
          <w:sz w:val="26"/>
        </w:rPr>
        <w:t>Purpose of this note</w:t>
      </w:r>
    </w:p>
    <w:p>
      <w:r>
        <w:rPr>
          <w:b w:val="0"/>
          <w:i w:val="0"/>
          <w:color w:val="2A2A2A"/>
          <w:sz w:val="22"/>
        </w:rPr>
        <w:t>These are the raw bullet notes from the pre-steering huddle held on 15 Jul 2026. They are captured here for Copilot to turn into a polished, board-ready deck. Nothing in this document has been styled, sequenced or fact-checked with the finance team.</w:t>
      </w:r>
    </w:p>
    <w:p>
      <w:r>
        <w:rPr>
          <w:b/>
          <w:color w:val="2A2A2A"/>
          <w:sz w:val="26"/>
        </w:rPr>
        <w:t>1. Where we are</w:t>
      </w:r>
    </w:p>
    <w:p>
      <w:pPr>
        <w:pStyle w:val="ListBullet"/>
      </w:pPr>
      <w:r>
        <w:rPr>
          <w:color w:val="2A2A2A"/>
          <w:sz w:val="22"/>
        </w:rPr>
        <w:t>Wave 2 amber, on the back of marine cargo UAT slippage.</w:t>
      </w:r>
    </w:p>
    <w:p>
      <w:pPr>
        <w:pStyle w:val="ListBullet"/>
      </w:pPr>
      <w:r>
        <w:rPr>
          <w:color w:val="2A2A2A"/>
          <w:sz w:val="22"/>
        </w:rPr>
        <w:t>Property and motor modules green, both on track to go live in Jul.</w:t>
      </w:r>
    </w:p>
    <w:p>
      <w:pPr>
        <w:pStyle w:val="ListBullet"/>
      </w:pPr>
      <w:r>
        <w:rPr>
          <w:color w:val="2A2A2A"/>
          <w:sz w:val="22"/>
        </w:rPr>
        <w:t>Broker portal live with 8 pilot brokers, positive early feedback especially from PT Mandiri Sinar Broker.</w:t>
      </w:r>
    </w:p>
    <w:p>
      <w:pPr>
        <w:pStyle w:val="ListBullet"/>
      </w:pPr>
      <w:r>
        <w:rPr>
          <w:color w:val="2A2A2A"/>
          <w:sz w:val="22"/>
        </w:rPr>
        <w:t>Data cleansing exceeded target: duplicate customers down from 4.2 percent to 0.7 percent.</w:t>
      </w:r>
    </w:p>
    <w:p>
      <w:pPr>
        <w:pStyle w:val="ListBullet"/>
      </w:pPr>
      <w:r>
        <w:rPr>
          <w:color w:val="2A2A2A"/>
          <w:sz w:val="22"/>
        </w:rPr>
        <w:t>Cyber and IAM: SSO complete, privileged access review upcoming.</w:t>
      </w:r>
    </w:p>
    <w:p>
      <w:pPr>
        <w:pStyle w:val="ListBullet"/>
      </w:pPr>
      <w:r>
        <w:rPr>
          <w:color w:val="2A2A2A"/>
          <w:sz w:val="22"/>
        </w:rPr>
        <w:t>Change: 72 percent of underwriters trained, 44 percent of claims adjusters trained, comms plan active.</w:t>
      </w:r>
    </w:p>
    <w:p>
      <w:r>
        <w:rPr>
          <w:b/>
          <w:color w:val="2A2A2A"/>
          <w:sz w:val="26"/>
        </w:rPr>
        <w:t>2. What we want to say about marine cargo</w:t>
      </w:r>
    </w:p>
    <w:p>
      <w:pPr>
        <w:pStyle w:val="ListBullet"/>
      </w:pPr>
      <w:r>
        <w:rPr>
          <w:color w:val="2A2A2A"/>
          <w:sz w:val="22"/>
        </w:rPr>
        <w:t>Root cause of slippage is the endorsement calculation engine, which was underspecified in the original SOW.</w:t>
      </w:r>
    </w:p>
    <w:p>
      <w:pPr>
        <w:pStyle w:val="ListBullet"/>
      </w:pPr>
      <w:r>
        <w:rPr>
          <w:color w:val="2A2A2A"/>
          <w:sz w:val="22"/>
        </w:rPr>
        <w:t>14 open defects, of which 3 are severity 1. Vendor has assigned two additional developers.</w:t>
      </w:r>
    </w:p>
    <w:p>
      <w:pPr>
        <w:pStyle w:val="ListBullet"/>
      </w:pPr>
      <w:r>
        <w:rPr>
          <w:color w:val="2A2A2A"/>
          <w:sz w:val="22"/>
        </w:rPr>
        <w:t>Realistic go live date is 13 Sep 2026, a 21 day slip.</w:t>
      </w:r>
    </w:p>
    <w:p>
      <w:pPr>
        <w:pStyle w:val="ListBullet"/>
      </w:pPr>
      <w:r>
        <w:rPr>
          <w:color w:val="2A2A2A"/>
          <w:sz w:val="22"/>
        </w:rPr>
        <w:t>The Sep date avoids collision with the property renewal peak in Oct.</w:t>
      </w:r>
    </w:p>
    <w:p>
      <w:pPr>
        <w:pStyle w:val="ListBullet"/>
      </w:pPr>
      <w:r>
        <w:rPr>
          <w:color w:val="2A2A2A"/>
          <w:sz w:val="22"/>
        </w:rPr>
        <w:t>Hyper-care will run for six weeks post go live rather than the standard four weeks.</w:t>
      </w:r>
    </w:p>
    <w:p>
      <w:r>
        <w:rPr>
          <w:b/>
          <w:color w:val="2A2A2A"/>
          <w:sz w:val="26"/>
        </w:rPr>
        <w:t>3. Financials headline</w:t>
      </w:r>
    </w:p>
    <w:p>
      <w:pPr>
        <w:pStyle w:val="ListBullet"/>
      </w:pPr>
      <w:r>
        <w:rPr>
          <w:color w:val="2A2A2A"/>
          <w:sz w:val="22"/>
        </w:rPr>
        <w:t>58 percent of budget spent against 58 percent of plan elapsed.</w:t>
      </w:r>
    </w:p>
    <w:p>
      <w:pPr>
        <w:pStyle w:val="ListBullet"/>
      </w:pPr>
      <w:r>
        <w:rPr>
          <w:color w:val="2A2A2A"/>
          <w:sz w:val="22"/>
        </w:rPr>
        <w:t>Contingency draw is only 24 percent, healthy buffer.</w:t>
      </w:r>
    </w:p>
    <w:p>
      <w:pPr>
        <w:pStyle w:val="ListBullet"/>
      </w:pPr>
      <w:r>
        <w:rPr>
          <w:color w:val="2A2A2A"/>
          <w:sz w:val="22"/>
        </w:rPr>
        <w:t>Requesting reallocation of IDR 1.2 bn from training contingency into UAT capacity.</w:t>
      </w:r>
    </w:p>
    <w:p>
      <w:pPr>
        <w:pStyle w:val="ListBullet"/>
      </w:pPr>
      <w:r>
        <w:rPr>
          <w:color w:val="2A2A2A"/>
          <w:sz w:val="22"/>
        </w:rPr>
        <w:t>No change to total programme envelope requested.</w:t>
      </w:r>
    </w:p>
    <w:p>
      <w:r>
        <w:rPr>
          <w:b/>
          <w:color w:val="2A2A2A"/>
          <w:sz w:val="26"/>
        </w:rPr>
        <w:t>4. Regulatory and compliance</w:t>
      </w:r>
    </w:p>
    <w:p>
      <w:pPr>
        <w:pStyle w:val="ListBullet"/>
      </w:pPr>
      <w:r>
        <w:rPr>
          <w:color w:val="2A2A2A"/>
          <w:sz w:val="22"/>
        </w:rPr>
        <w:t>OJK is introducing a sharia line designation in the SIPP monthly return, effective Aug 2026.</w:t>
      </w:r>
    </w:p>
    <w:p>
      <w:pPr>
        <w:pStyle w:val="ListBullet"/>
      </w:pPr>
      <w:r>
        <w:rPr>
          <w:color w:val="2A2A2A"/>
          <w:sz w:val="22"/>
        </w:rPr>
        <w:t>This needs a small schema change in the new platform and a re-run of the historic 24 month migration.</w:t>
      </w:r>
    </w:p>
    <w:p>
      <w:pPr>
        <w:pStyle w:val="ListBullet"/>
      </w:pPr>
      <w:r>
        <w:rPr>
          <w:color w:val="2A2A2A"/>
          <w:sz w:val="22"/>
        </w:rPr>
        <w:t>We propose a parallel run for the Aug submission to de-risk.</w:t>
      </w:r>
    </w:p>
    <w:p>
      <w:pPr>
        <w:pStyle w:val="ListBullet"/>
      </w:pPr>
      <w:r>
        <w:rPr>
          <w:color w:val="2A2A2A"/>
          <w:sz w:val="22"/>
        </w:rPr>
        <w:t>Legal has confirmed no personal data protection impact from the schema change.</w:t>
      </w:r>
    </w:p>
    <w:p>
      <w:r>
        <w:rPr>
          <w:b/>
          <w:color w:val="2A2A2A"/>
          <w:sz w:val="26"/>
        </w:rPr>
        <w:t>5. Stakeholder heat</w:t>
      </w:r>
    </w:p>
    <w:p>
      <w:pPr>
        <w:pStyle w:val="ListBullet"/>
      </w:pPr>
      <w:r>
        <w:rPr>
          <w:color w:val="2A2A2A"/>
          <w:sz w:val="22"/>
        </w:rPr>
        <w:t>Head of Marine Underwriting is frustrated by the delay, especially given cargo volumes trending up.</w:t>
      </w:r>
    </w:p>
    <w:p>
      <w:pPr>
        <w:pStyle w:val="ListBullet"/>
      </w:pPr>
      <w:r>
        <w:rPr>
          <w:color w:val="2A2A2A"/>
          <w:sz w:val="22"/>
        </w:rPr>
        <w:t>Bancassurance partners (BCA, Mandiri) have been briefed on the go live sequence.</w:t>
      </w:r>
    </w:p>
    <w:p>
      <w:pPr>
        <w:pStyle w:val="ListBullet"/>
      </w:pPr>
      <w:r>
        <w:rPr>
          <w:color w:val="2A2A2A"/>
          <w:sz w:val="22"/>
        </w:rPr>
        <w:t>Leasing partners (BCA Finance, Mandiri Tunas Finance) want early access to the new motor endorsement API.</w:t>
      </w:r>
    </w:p>
    <w:p>
      <w:pPr>
        <w:pStyle w:val="ListBullet"/>
      </w:pPr>
      <w:r>
        <w:rPr>
          <w:color w:val="2A2A2A"/>
          <w:sz w:val="22"/>
        </w:rPr>
        <w:t>Manufacturers (Astra International, MMKI) are watching the API contract carefully.</w:t>
      </w:r>
    </w:p>
    <w:p>
      <w:pPr>
        <w:pStyle w:val="ListBullet"/>
      </w:pPr>
      <w:r>
        <w:rPr>
          <w:color w:val="2A2A2A"/>
          <w:sz w:val="22"/>
        </w:rPr>
        <w:t>Regulator OJK: on track for Aug submission, no escalations.</w:t>
      </w:r>
    </w:p>
    <w:p>
      <w:r>
        <w:rPr>
          <w:b/>
          <w:color w:val="2A2A2A"/>
          <w:sz w:val="26"/>
        </w:rPr>
        <w:t>6. Asks of the Steering Committee</w:t>
      </w:r>
    </w:p>
    <w:p>
      <w:pPr>
        <w:pStyle w:val="ListBullet"/>
      </w:pPr>
      <w:r>
        <w:rPr>
          <w:color w:val="2A2A2A"/>
          <w:sz w:val="22"/>
        </w:rPr>
        <w:t>Approve revised marine cargo go live of 13 Sep 2026.</w:t>
      </w:r>
    </w:p>
    <w:p>
      <w:pPr>
        <w:pStyle w:val="ListBullet"/>
      </w:pPr>
      <w:r>
        <w:rPr>
          <w:color w:val="2A2A2A"/>
          <w:sz w:val="22"/>
        </w:rPr>
        <w:t>Approve reallocation of IDR 1.2 bn within the approved envelope.</w:t>
      </w:r>
    </w:p>
    <w:p>
      <w:pPr>
        <w:pStyle w:val="ListBullet"/>
      </w:pPr>
      <w:r>
        <w:rPr>
          <w:color w:val="2A2A2A"/>
          <w:sz w:val="22"/>
        </w:rPr>
        <w:t>Endorse parallel run for the OJK SIPP Aug submission.</w:t>
      </w:r>
    </w:p>
    <w:p>
      <w:pPr>
        <w:pStyle w:val="ListBullet"/>
      </w:pPr>
      <w:r>
        <w:rPr>
          <w:color w:val="2A2A2A"/>
          <w:sz w:val="22"/>
        </w:rPr>
        <w:t>Note the vendor delivery lead succession plan (to be tabled at the Aug steering).</w:t>
      </w:r>
    </w:p>
    <w:p>
      <w:r>
        <w:rPr>
          <w:b/>
          <w:color w:val="2A2A2A"/>
          <w:sz w:val="26"/>
        </w:rPr>
        <w:t>7. What we are not covering today</w:t>
      </w:r>
    </w:p>
    <w:p>
      <w:pPr>
        <w:pStyle w:val="ListBullet"/>
      </w:pPr>
      <w:r>
        <w:rPr>
          <w:color w:val="2A2A2A"/>
          <w:sz w:val="22"/>
        </w:rPr>
        <w:t>Wave 3 scoping (health and sharia lines): separate paper in Aug.</w:t>
      </w:r>
    </w:p>
    <w:p>
      <w:pPr>
        <w:pStyle w:val="ListBullet"/>
      </w:pPr>
      <w:r>
        <w:rPr>
          <w:color w:val="2A2A2A"/>
          <w:sz w:val="22"/>
        </w:rPr>
        <w:t>Contact centre modernisation: separate governance under COO.</w:t>
      </w:r>
    </w:p>
    <w:p>
      <w:pPr>
        <w:pStyle w:val="ListBullet"/>
      </w:pPr>
      <w:r>
        <w:rPr>
          <w:color w:val="2A2A2A"/>
          <w:sz w:val="22"/>
        </w:rPr>
        <w:t>Data platform migration: separate CIO programme.</w:t>
      </w:r>
    </w:p>
    <w:p>
      <w:r>
        <w:rPr>
          <w:b/>
          <w:color w:val="2A2A2A"/>
          <w:sz w:val="26"/>
        </w:rPr>
        <w:t>8. Suggested deck outline (for Copilot to draft)</w:t>
      </w:r>
    </w:p>
    <w:p>
      <w:pPr>
        <w:pStyle w:val="ListBullet"/>
      </w:pPr>
      <w:r>
        <w:rPr>
          <w:color w:val="2A2A2A"/>
          <w:sz w:val="22"/>
        </w:rPr>
        <w:t>Slide 1 — Cover: title, date, author, classification.</w:t>
      </w:r>
    </w:p>
    <w:p>
      <w:pPr>
        <w:pStyle w:val="ListBullet"/>
      </w:pPr>
      <w:r>
        <w:rPr>
          <w:color w:val="2A2A2A"/>
          <w:sz w:val="22"/>
        </w:rPr>
        <w:t>Slide 2 — Executive summary in five bullets.</w:t>
      </w:r>
    </w:p>
    <w:p>
      <w:pPr>
        <w:pStyle w:val="ListBullet"/>
      </w:pPr>
      <w:r>
        <w:rPr>
          <w:color w:val="2A2A2A"/>
          <w:sz w:val="22"/>
        </w:rPr>
        <w:t>Slide 3 — RAG dashboard by workstream.</w:t>
      </w:r>
    </w:p>
    <w:p>
      <w:pPr>
        <w:pStyle w:val="ListBullet"/>
      </w:pPr>
      <w:r>
        <w:rPr>
          <w:color w:val="2A2A2A"/>
          <w:sz w:val="22"/>
        </w:rPr>
        <w:t>Slide 4 — Milestone timeline with marine cargo slip called out.</w:t>
      </w:r>
    </w:p>
    <w:p>
      <w:pPr>
        <w:pStyle w:val="ListBullet"/>
      </w:pPr>
      <w:r>
        <w:rPr>
          <w:color w:val="2A2A2A"/>
          <w:sz w:val="22"/>
        </w:rPr>
        <w:t>Slide 5 — Marine cargo deep dive.</w:t>
      </w:r>
    </w:p>
    <w:p>
      <w:pPr>
        <w:pStyle w:val="ListBullet"/>
      </w:pPr>
      <w:r>
        <w:rPr>
          <w:color w:val="2A2A2A"/>
          <w:sz w:val="22"/>
        </w:rPr>
        <w:t>Slide 6 — Financials and contingency utilisation.</w:t>
      </w:r>
    </w:p>
    <w:p>
      <w:pPr>
        <w:pStyle w:val="ListBullet"/>
      </w:pPr>
      <w:r>
        <w:rPr>
          <w:color w:val="2A2A2A"/>
          <w:sz w:val="22"/>
        </w:rPr>
        <w:t>Slide 7 — Regulatory and compliance update.</w:t>
      </w:r>
    </w:p>
    <w:p>
      <w:pPr>
        <w:pStyle w:val="ListBullet"/>
      </w:pPr>
      <w:r>
        <w:rPr>
          <w:color w:val="2A2A2A"/>
          <w:sz w:val="22"/>
        </w:rPr>
        <w:t>Slide 8 — Stakeholder heat map.</w:t>
      </w:r>
    </w:p>
    <w:p>
      <w:pPr>
        <w:pStyle w:val="ListBullet"/>
      </w:pPr>
      <w:r>
        <w:rPr>
          <w:color w:val="2A2A2A"/>
          <w:sz w:val="22"/>
        </w:rPr>
        <w:t>Slide 9 — Asks of the Steering Committee.</w:t>
      </w:r>
    </w:p>
    <w:p>
      <w:pPr>
        <w:pStyle w:val="ListBullet"/>
      </w:pPr>
      <w:r>
        <w:rPr>
          <w:color w:val="2A2A2A"/>
          <w:sz w:val="22"/>
        </w:rPr>
        <w:t>Slide 10 — Appendix: risks, decisions log, next steering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