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C8102E"/>
          <w:sz w:val="44"/>
        </w:rPr>
        <w:t>Contoso General Assurance Indonesia</w:t>
      </w:r>
    </w:p>
    <w:p>
      <w:r>
        <w:rPr>
          <w:b/>
          <w:color w:val="2A2A2A"/>
          <w:sz w:val="30"/>
        </w:rPr>
        <w:t>Underwriting Manual, Commercial Property (excerpt)</w:t>
      </w:r>
    </w:p>
    <w:p>
      <w:r>
        <w:rPr>
          <w:b w:val="0"/>
          <w:i/>
          <w:color w:val="2A2A2A"/>
          <w:sz w:val="22"/>
        </w:rPr>
        <w:t>Section: Commercial Property Fire and Perils, Manual v3.2, effective 01 Apr 2026</w:t>
      </w:r>
    </w:p>
    <w:p>
      <w:r>
        <w:rPr>
          <w:b w:val="0"/>
          <w:i/>
          <w:color w:val="6B7280"/>
          <w:sz w:val="22"/>
        </w:rPr>
        <w:t>Owner: Head of Commercial Property Underwriting. Classification: Internal, restricted to underwriting staff.</w:t>
      </w:r>
    </w:p>
    <w:p>
      <w:r>
        <w:t>__________________________________________________________________________________________</w:t>
      </w:r>
    </w:p>
    <w:p>
      <w:r>
        <w:rPr>
          <w:b/>
          <w:color w:val="2A2A2A"/>
          <w:sz w:val="26"/>
        </w:rPr>
        <w:t>1. Scope and applicability</w:t>
      </w:r>
    </w:p>
    <w:p>
      <w:r>
        <w:rPr>
          <w:b w:val="0"/>
          <w:i w:val="0"/>
          <w:color w:val="2A2A2A"/>
          <w:sz w:val="22"/>
        </w:rPr>
        <w:t>This section governs the underwriting of commercial property fire and allied perils insurance for corporate and small to medium enterprise clients across all branches of Contoso General Assurance Indonesia. It covers the standard Property All Risks (PAR) wording, the Industrial All Risks (IAR) wording for manufacturing risks, and the Standard Fire policy for smaller risks. Sharia equivalent products are covered in Section 12 and follow the same technical principles adapted to the takaful framework.</w:t>
      </w:r>
    </w:p>
    <w:p>
      <w:r>
        <w:rPr>
          <w:b/>
          <w:color w:val="2A2A2A"/>
          <w:sz w:val="26"/>
        </w:rPr>
        <w:t>2. Underwriting authority and referrals</w:t>
      </w:r>
    </w:p>
    <w:p>
      <w:r>
        <w:rPr>
          <w:b w:val="0"/>
          <w:i w:val="0"/>
          <w:color w:val="2A2A2A"/>
          <w:sz w:val="22"/>
        </w:rPr>
        <w:t>The following delegated authority framework applies. Any risk exceeding the branch limit must be referred to the Regional Underwriting Manager. Any risk exceeding the regional limit must be referred to the Head of Commercial Property Underwriting at Head Office. Any risk exceeding the Head Office limit must be referred to the Chief Underwriting Officer and to the ceded reinsurance team for treaty and facultative placement.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Authority level</w:t>
            </w:r>
          </w:p>
        </w:tc>
        <w:tc>
          <w:tcPr>
            <w:tcW w:type="dxa" w:w="2880"/>
          </w:tcPr>
          <w:p>
            <w:r>
              <w:t>Sum insured limit per location (IDR bn)</w:t>
            </w:r>
          </w:p>
        </w:tc>
        <w:tc>
          <w:tcPr>
            <w:tcW w:type="dxa" w:w="2880"/>
          </w:tcPr>
          <w:p>
            <w:r>
              <w:t>Notes</w:t>
            </w:r>
          </w:p>
        </w:tc>
      </w:tr>
      <w:tr>
        <w:tc>
          <w:tcPr>
            <w:tcW w:type="dxa" w:w="2880"/>
          </w:tcPr>
          <w:p>
            <w:r>
              <w:t>Branch underwriter</w:t>
            </w:r>
          </w:p>
        </w:tc>
        <w:tc>
          <w:tcPr>
            <w:tcW w:type="dxa" w:w="2880"/>
          </w:tcPr>
          <w:p>
            <w:r>
              <w:t>50</w:t>
            </w:r>
          </w:p>
        </w:tc>
        <w:tc>
          <w:tcPr>
            <w:tcW w:type="dxa" w:w="2880"/>
          </w:tcPr>
          <w:p>
            <w:r>
              <w:t>Standard occupancies only; no protected industries.</w:t>
            </w:r>
          </w:p>
        </w:tc>
      </w:tr>
      <w:tr>
        <w:tc>
          <w:tcPr>
            <w:tcW w:type="dxa" w:w="2880"/>
          </w:tcPr>
          <w:p>
            <w:r>
              <w:t>Regional underwriting manager</w:t>
            </w:r>
          </w:p>
        </w:tc>
        <w:tc>
          <w:tcPr>
            <w:tcW w:type="dxa" w:w="2880"/>
          </w:tcPr>
          <w:p>
            <w:r>
              <w:t>250</w:t>
            </w:r>
          </w:p>
        </w:tc>
        <w:tc>
          <w:tcPr>
            <w:tcW w:type="dxa" w:w="2880"/>
          </w:tcPr>
          <w:p>
            <w:r>
              <w:t>Includes protected occupancies where cover is standard.</w:t>
            </w:r>
          </w:p>
        </w:tc>
      </w:tr>
      <w:tr>
        <w:tc>
          <w:tcPr>
            <w:tcW w:type="dxa" w:w="2880"/>
          </w:tcPr>
          <w:p>
            <w:r>
              <w:t>Head Office commercial property</w:t>
            </w:r>
          </w:p>
        </w:tc>
        <w:tc>
          <w:tcPr>
            <w:tcW w:type="dxa" w:w="2880"/>
          </w:tcPr>
          <w:p>
            <w:r>
              <w:t>1,500</w:t>
            </w:r>
          </w:p>
        </w:tc>
        <w:tc>
          <w:tcPr>
            <w:tcW w:type="dxa" w:w="2880"/>
          </w:tcPr>
          <w:p>
            <w:r>
              <w:t>Above 1.5 tn requires CUO and ceded reinsurance sign off.</w:t>
            </w:r>
          </w:p>
        </w:tc>
      </w:tr>
      <w:tr>
        <w:tc>
          <w:tcPr>
            <w:tcW w:type="dxa" w:w="2880"/>
          </w:tcPr>
          <w:p>
            <w:r>
              <w:t>CUO and ceded reinsurance</w:t>
            </w:r>
          </w:p>
        </w:tc>
        <w:tc>
          <w:tcPr>
            <w:tcW w:type="dxa" w:w="2880"/>
          </w:tcPr>
          <w:p>
            <w:r>
              <w:t>Above 1,500</w:t>
            </w:r>
          </w:p>
        </w:tc>
        <w:tc>
          <w:tcPr>
            <w:tcW w:type="dxa" w:w="2880"/>
          </w:tcPr>
          <w:p>
            <w:r>
              <w:t>Facultative placement typically required.</w:t>
            </w:r>
          </w:p>
        </w:tc>
      </w:tr>
    </w:tbl>
    <w:p>
      <w:r>
        <w:rPr>
          <w:b/>
          <w:color w:val="2A2A2A"/>
          <w:sz w:val="26"/>
        </w:rPr>
        <w:t>3. Occupancy classification</w:t>
      </w:r>
    </w:p>
    <w:p>
      <w:r>
        <w:rPr>
          <w:b w:val="0"/>
          <w:i w:val="0"/>
          <w:color w:val="2A2A2A"/>
          <w:sz w:val="22"/>
        </w:rPr>
        <w:t>All risks must be classified against the standard occupancy tariff. The Manual references the AAUI occupancy code as the primary classification, supplemented by internal codes for occupancies not covered by AAUI. The following occupancies are classified as PROTECTED and require Regional Underwriting Manager approval regardless of sum insured:</w:t>
      </w:r>
    </w:p>
    <w:p>
      <w:pPr>
        <w:pStyle w:val="ListBullet"/>
      </w:pPr>
      <w:r>
        <w:rPr>
          <w:color w:val="2A2A2A"/>
          <w:sz w:val="22"/>
        </w:rPr>
        <w:t>Petrochemical and oil refining installations.</w:t>
      </w:r>
    </w:p>
    <w:p>
      <w:pPr>
        <w:pStyle w:val="ListBullet"/>
      </w:pPr>
      <w:r>
        <w:rPr>
          <w:color w:val="2A2A2A"/>
          <w:sz w:val="22"/>
        </w:rPr>
        <w:t>Chemical warehousing above 500 tonnes.</w:t>
      </w:r>
    </w:p>
    <w:p>
      <w:pPr>
        <w:pStyle w:val="ListBullet"/>
      </w:pPr>
      <w:r>
        <w:rPr>
          <w:color w:val="2A2A2A"/>
          <w:sz w:val="22"/>
        </w:rPr>
        <w:t>Cold storage facilities with ammonia refrigeration.</w:t>
      </w:r>
    </w:p>
    <w:p>
      <w:pPr>
        <w:pStyle w:val="ListBullet"/>
      </w:pPr>
      <w:r>
        <w:rPr>
          <w:color w:val="2A2A2A"/>
          <w:sz w:val="22"/>
        </w:rPr>
        <w:t>Timber processing and sawmilling.</w:t>
      </w:r>
    </w:p>
    <w:p>
      <w:pPr>
        <w:pStyle w:val="ListBullet"/>
      </w:pPr>
      <w:r>
        <w:rPr>
          <w:color w:val="2A2A2A"/>
          <w:sz w:val="22"/>
        </w:rPr>
        <w:t>Rubber processing.</w:t>
      </w:r>
    </w:p>
    <w:p>
      <w:pPr>
        <w:pStyle w:val="ListBullet"/>
      </w:pPr>
      <w:r>
        <w:rPr>
          <w:color w:val="2A2A2A"/>
          <w:sz w:val="22"/>
        </w:rPr>
        <w:t>Palm oil mills and refineries.</w:t>
      </w:r>
    </w:p>
    <w:p>
      <w:pPr>
        <w:pStyle w:val="ListBullet"/>
      </w:pPr>
      <w:r>
        <w:rPr>
          <w:color w:val="2A2A2A"/>
          <w:sz w:val="22"/>
        </w:rPr>
        <w:t>Textile spinning mills with cotton content above 30 percent.</w:t>
      </w:r>
    </w:p>
    <w:p>
      <w:pPr>
        <w:pStyle w:val="ListBullet"/>
      </w:pPr>
      <w:r>
        <w:rPr>
          <w:color w:val="2A2A2A"/>
          <w:sz w:val="22"/>
        </w:rPr>
        <w:t>Paint and solvent manufacturing.</w:t>
      </w:r>
    </w:p>
    <w:p>
      <w:pPr>
        <w:pStyle w:val="ListBullet"/>
      </w:pPr>
      <w:r>
        <w:rPr>
          <w:color w:val="2A2A2A"/>
          <w:sz w:val="22"/>
        </w:rPr>
        <w:t>Fireworks and munitions.</w:t>
      </w:r>
    </w:p>
    <w:p>
      <w:pPr>
        <w:pStyle w:val="ListBullet"/>
      </w:pPr>
      <w:r>
        <w:rPr>
          <w:color w:val="2A2A2A"/>
          <w:sz w:val="22"/>
        </w:rPr>
        <w:t>Waste and recycling facilities.</w:t>
      </w:r>
    </w:p>
    <w:p>
      <w:r>
        <w:rPr>
          <w:b/>
          <w:color w:val="2A2A2A"/>
          <w:sz w:val="26"/>
        </w:rPr>
        <w:t>4. Perils covered under the standard PAR wording</w:t>
      </w:r>
    </w:p>
    <w:p>
      <w:pPr>
        <w:pStyle w:val="ListBullet"/>
      </w:pPr>
      <w:r>
        <w:rPr>
          <w:color w:val="2A2A2A"/>
          <w:sz w:val="22"/>
        </w:rPr>
        <w:t>Fire, lightning, explosion (FLEXA).</w:t>
      </w:r>
    </w:p>
    <w:p>
      <w:pPr>
        <w:pStyle w:val="ListBullet"/>
      </w:pPr>
      <w:r>
        <w:rPr>
          <w:color w:val="2A2A2A"/>
          <w:sz w:val="22"/>
        </w:rPr>
        <w:t>Aircraft impact and objects falling from aircraft.</w:t>
      </w:r>
    </w:p>
    <w:p>
      <w:pPr>
        <w:pStyle w:val="ListBullet"/>
      </w:pPr>
      <w:r>
        <w:rPr>
          <w:color w:val="2A2A2A"/>
          <w:sz w:val="22"/>
        </w:rPr>
        <w:t>Impact from road vehicles not owned or under the control of the insured.</w:t>
      </w:r>
    </w:p>
    <w:p>
      <w:pPr>
        <w:pStyle w:val="ListBullet"/>
      </w:pPr>
      <w:r>
        <w:rPr>
          <w:color w:val="2A2A2A"/>
          <w:sz w:val="22"/>
        </w:rPr>
        <w:t>Smoke damage.</w:t>
      </w:r>
    </w:p>
    <w:p>
      <w:pPr>
        <w:pStyle w:val="ListBullet"/>
      </w:pPr>
      <w:r>
        <w:rPr>
          <w:color w:val="2A2A2A"/>
          <w:sz w:val="22"/>
        </w:rPr>
        <w:t>Water damage from bursting or leakage of water tanks, apparatus or pipes, excluding gradual seepage.</w:t>
      </w:r>
    </w:p>
    <w:p>
      <w:pPr>
        <w:pStyle w:val="ListBullet"/>
      </w:pPr>
      <w:r>
        <w:rPr>
          <w:color w:val="2A2A2A"/>
          <w:sz w:val="22"/>
        </w:rPr>
        <w:t>Sudden and unforeseen physical loss or damage from any cause, other than exclusions in Section 6.</w:t>
      </w:r>
    </w:p>
    <w:p>
      <w:r>
        <w:rPr>
          <w:b/>
          <w:color w:val="2A2A2A"/>
          <w:sz w:val="26"/>
        </w:rPr>
        <w:t>5. Extensions and endorsements</w:t>
      </w:r>
    </w:p>
    <w:p>
      <w:r>
        <w:rPr>
          <w:b w:val="0"/>
          <w:i w:val="0"/>
          <w:color w:val="2A2A2A"/>
          <w:sz w:val="22"/>
        </w:rPr>
        <w:t>The following extensions are commonly requested and have standard endorsement wordings in the CGA library. Any deviation from the standard wording requires prior approval from the Head of Commercial Property Underwriting.</w:t>
      </w:r>
    </w:p>
    <w:p>
      <w:pPr>
        <w:pStyle w:val="ListBullet"/>
      </w:pPr>
      <w:r>
        <w:rPr>
          <w:color w:val="2A2A2A"/>
          <w:sz w:val="22"/>
        </w:rPr>
        <w:t>Earthquake, volcanic eruption and tsunami (EQVET) as per the AAUI rating table.</w:t>
      </w:r>
    </w:p>
    <w:p>
      <w:pPr>
        <w:pStyle w:val="ListBullet"/>
      </w:pPr>
      <w:r>
        <w:rPr>
          <w:color w:val="2A2A2A"/>
          <w:sz w:val="22"/>
        </w:rPr>
        <w:t>Flood, windstorm, tempest, water damage (FSTWD).</w:t>
      </w:r>
    </w:p>
    <w:p>
      <w:pPr>
        <w:pStyle w:val="ListBullet"/>
      </w:pPr>
      <w:r>
        <w:rPr>
          <w:color w:val="2A2A2A"/>
          <w:sz w:val="22"/>
        </w:rPr>
        <w:t>Riot, strike, malicious damage, and civil commotion (RSMDCC) as per the AAUI wording.</w:t>
      </w:r>
    </w:p>
    <w:p>
      <w:pPr>
        <w:pStyle w:val="ListBullet"/>
      </w:pPr>
      <w:r>
        <w:rPr>
          <w:color w:val="2A2A2A"/>
          <w:sz w:val="22"/>
        </w:rPr>
        <w:t>Terrorism and sabotage per the Nasional pool wording, mandatory placement through the pool.</w:t>
      </w:r>
    </w:p>
    <w:p>
      <w:pPr>
        <w:pStyle w:val="ListBullet"/>
      </w:pPr>
      <w:r>
        <w:rPr>
          <w:color w:val="2A2A2A"/>
          <w:sz w:val="22"/>
        </w:rPr>
        <w:t>Business interruption up to 12 months indemnity period, with a 30 day deductible.</w:t>
      </w:r>
    </w:p>
    <w:p>
      <w:pPr>
        <w:pStyle w:val="ListBullet"/>
      </w:pPr>
      <w:r>
        <w:rPr>
          <w:color w:val="2A2A2A"/>
          <w:sz w:val="22"/>
        </w:rPr>
        <w:t>Removal of debris up to 10 percent of the sum insured.</w:t>
      </w:r>
    </w:p>
    <w:p>
      <w:pPr>
        <w:pStyle w:val="ListBullet"/>
      </w:pPr>
      <w:r>
        <w:rPr>
          <w:color w:val="2A2A2A"/>
          <w:sz w:val="22"/>
        </w:rPr>
        <w:t>Professional fees for architects and surveyors up to 5 percent.</w:t>
      </w:r>
    </w:p>
    <w:p>
      <w:pPr>
        <w:pStyle w:val="ListBullet"/>
      </w:pPr>
      <w:r>
        <w:rPr>
          <w:color w:val="2A2A2A"/>
          <w:sz w:val="22"/>
        </w:rPr>
        <w:t>Public authorities extension for compliance with building regulations after loss.</w:t>
      </w:r>
    </w:p>
    <w:p>
      <w:r>
        <w:rPr>
          <w:b/>
          <w:color w:val="2A2A2A"/>
          <w:sz w:val="26"/>
        </w:rPr>
        <w:t>6. Exclusions</w:t>
      </w:r>
    </w:p>
    <w:p>
      <w:r>
        <w:rPr>
          <w:b w:val="0"/>
          <w:i w:val="0"/>
          <w:color w:val="2A2A2A"/>
          <w:sz w:val="22"/>
        </w:rPr>
        <w:t>The standard PAR wording excludes: war and warlike operations; nuclear risks; wear and tear and gradual deterioration; inherent vice; consequential loss unless specifically extended; loss due to cessation of work; and any loss for which specific insurance has been arranged. The full list is in the master wording, Annex A.</w:t>
      </w:r>
    </w:p>
    <w:p>
      <w:r>
        <w:rPr>
          <w:b/>
          <w:color w:val="2A2A2A"/>
          <w:sz w:val="26"/>
        </w:rPr>
        <w:t>7. Rating principles</w:t>
      </w:r>
    </w:p>
    <w:p>
      <w:r>
        <w:rPr>
          <w:b w:val="0"/>
          <w:i w:val="0"/>
          <w:color w:val="2A2A2A"/>
          <w:sz w:val="22"/>
        </w:rPr>
        <w:t>Rating for commercial property risks follows the AAUI tariff for standard occupancies. For non tariff occupancies the underwriter must apply the CGA in house rating model, which considers the following factors:</w:t>
      </w:r>
    </w:p>
    <w:p>
      <w:pPr>
        <w:pStyle w:val="ListBullet"/>
      </w:pPr>
      <w:r>
        <w:rPr>
          <w:color w:val="2A2A2A"/>
          <w:sz w:val="22"/>
        </w:rPr>
        <w:t>Occupancy hazard class and process risk.</w:t>
      </w:r>
    </w:p>
    <w:p>
      <w:pPr>
        <w:pStyle w:val="ListBullet"/>
      </w:pPr>
      <w:r>
        <w:rPr>
          <w:color w:val="2A2A2A"/>
          <w:sz w:val="22"/>
        </w:rPr>
        <w:t>Construction class (I to IV per the CGA construction guide).</w:t>
      </w:r>
    </w:p>
    <w:p>
      <w:pPr>
        <w:pStyle w:val="ListBullet"/>
      </w:pPr>
      <w:r>
        <w:rPr>
          <w:color w:val="2A2A2A"/>
          <w:sz w:val="22"/>
        </w:rPr>
        <w:t>Fire protection: sprinklers, hydrants, fire pumps, detection systems, fire brigade access.</w:t>
      </w:r>
    </w:p>
    <w:p>
      <w:pPr>
        <w:pStyle w:val="ListBullet"/>
      </w:pPr>
      <w:r>
        <w:rPr>
          <w:color w:val="2A2A2A"/>
          <w:sz w:val="22"/>
        </w:rPr>
        <w:t>Housekeeping and hot work permit procedures.</w:t>
      </w:r>
    </w:p>
    <w:p>
      <w:pPr>
        <w:pStyle w:val="ListBullet"/>
      </w:pPr>
      <w:r>
        <w:rPr>
          <w:color w:val="2A2A2A"/>
          <w:sz w:val="22"/>
        </w:rPr>
        <w:t>Concentration and separation of values within a single location.</w:t>
      </w:r>
    </w:p>
    <w:p>
      <w:pPr>
        <w:pStyle w:val="ListBullet"/>
      </w:pPr>
      <w:r>
        <w:rPr>
          <w:color w:val="2A2A2A"/>
          <w:sz w:val="22"/>
        </w:rPr>
        <w:t>Loss history over five years.</w:t>
      </w:r>
    </w:p>
    <w:p>
      <w:pPr>
        <w:pStyle w:val="ListBullet"/>
      </w:pPr>
      <w:r>
        <w:rPr>
          <w:color w:val="2A2A2A"/>
          <w:sz w:val="22"/>
        </w:rPr>
        <w:t>Sum insured versus estimated maximum loss (EML).</w:t>
      </w:r>
    </w:p>
    <w:p>
      <w:pPr>
        <w:pStyle w:val="ListBullet"/>
      </w:pPr>
      <w:r>
        <w:rPr>
          <w:color w:val="2A2A2A"/>
          <w:sz w:val="22"/>
        </w:rPr>
        <w:t>Reinsurance treaty applicability and net retention.</w:t>
      </w:r>
    </w:p>
    <w:p>
      <w:r>
        <w:rPr>
          <w:b/>
          <w:color w:val="2A2A2A"/>
          <w:sz w:val="26"/>
        </w:rPr>
        <w:t>8. Survey requirements</w:t>
      </w:r>
    </w:p>
    <w:p>
      <w:r>
        <w:rPr>
          <w:b w:val="0"/>
          <w:i w:val="0"/>
          <w:color w:val="2A2A2A"/>
          <w:sz w:val="22"/>
        </w:rPr>
        <w:t>A pre-inception risk survey is mandatory for all risks with a sum insured above IDR 25 bn per location, for all protected occupancies, and for any risk with a loss history exceeding IDR 500 mn in the previous five years. Surveys must be completed by an accredited surveyor from the CGA panel and must include the following minimum content:</w:t>
      </w:r>
    </w:p>
    <w:p>
      <w:pPr>
        <w:pStyle w:val="ListBullet"/>
      </w:pPr>
      <w:r>
        <w:rPr>
          <w:color w:val="2A2A2A"/>
          <w:sz w:val="22"/>
        </w:rPr>
        <w:t>Description of occupancy, processes and stored materials.</w:t>
      </w:r>
    </w:p>
    <w:p>
      <w:pPr>
        <w:pStyle w:val="ListBullet"/>
      </w:pPr>
      <w:r>
        <w:rPr>
          <w:color w:val="2A2A2A"/>
          <w:sz w:val="22"/>
        </w:rPr>
        <w:t>Construction details with photographs of all major buildings.</w:t>
      </w:r>
    </w:p>
    <w:p>
      <w:pPr>
        <w:pStyle w:val="ListBullet"/>
      </w:pPr>
      <w:r>
        <w:rPr>
          <w:color w:val="2A2A2A"/>
          <w:sz w:val="22"/>
        </w:rPr>
        <w:t>Fire protection: sprinkler system type, water supply, alarms, extinguishers, hydrants, fire brigade access.</w:t>
      </w:r>
    </w:p>
    <w:p>
      <w:pPr>
        <w:pStyle w:val="ListBullet"/>
      </w:pPr>
      <w:r>
        <w:rPr>
          <w:color w:val="2A2A2A"/>
          <w:sz w:val="22"/>
        </w:rPr>
        <w:t>Assessment of housekeeping, hot work controls, and smoking policies.</w:t>
      </w:r>
    </w:p>
    <w:p>
      <w:pPr>
        <w:pStyle w:val="ListBullet"/>
      </w:pPr>
      <w:r>
        <w:rPr>
          <w:color w:val="2A2A2A"/>
          <w:sz w:val="22"/>
        </w:rPr>
        <w:t>Estimated Maximum Loss (EML) calculation with the assumptions clearly stated.</w:t>
      </w:r>
    </w:p>
    <w:p>
      <w:pPr>
        <w:pStyle w:val="ListBullet"/>
      </w:pPr>
      <w:r>
        <w:rPr>
          <w:color w:val="2A2A2A"/>
          <w:sz w:val="22"/>
        </w:rPr>
        <w:t>Loss control recommendations classified as mandatory, priority, or desirable.</w:t>
      </w:r>
    </w:p>
    <w:p>
      <w:r>
        <w:rPr>
          <w:b/>
          <w:color w:val="2A2A2A"/>
          <w:sz w:val="26"/>
        </w:rPr>
        <w:t>9. Reinsurance treatment</w:t>
      </w:r>
    </w:p>
    <w:p>
      <w:r>
        <w:rPr>
          <w:b w:val="0"/>
          <w:i w:val="0"/>
          <w:color w:val="2A2A2A"/>
          <w:sz w:val="22"/>
        </w:rPr>
        <w:t>The CGA treaty structure for 2026 provides automatic capacity of IDR 750 bn per risk. Any risk exceeding this net capacity must be referred to the ceded reinsurance team for facultative placement prior to binding. The treaty excludes the following occupancies which require facultative placement irrespective of sum insured: petrochemical, chemical warehousing above 500 tonnes, cold storage with ammonia refrigeration, and fireworks and munitions.</w:t>
      </w:r>
    </w:p>
    <w:p>
      <w:r>
        <w:rPr>
          <w:b/>
          <w:color w:val="2A2A2A"/>
          <w:sz w:val="26"/>
        </w:rPr>
        <w:t>10. Documentation and record keeping</w:t>
      </w:r>
    </w:p>
    <w:p>
      <w:pPr>
        <w:pStyle w:val="ListBullet"/>
      </w:pPr>
      <w:r>
        <w:rPr>
          <w:color w:val="2A2A2A"/>
          <w:sz w:val="22"/>
        </w:rPr>
        <w:t>Every accepted risk must have a completed proposal form or SPPA signed by an authorised representative of the insured.</w:t>
      </w:r>
    </w:p>
    <w:p>
      <w:pPr>
        <w:pStyle w:val="ListBullet"/>
      </w:pPr>
      <w:r>
        <w:rPr>
          <w:color w:val="2A2A2A"/>
          <w:sz w:val="22"/>
        </w:rPr>
        <w:t>Survey reports must be filed in the underwriting file within 14 days of survey completion.</w:t>
      </w:r>
    </w:p>
    <w:p>
      <w:pPr>
        <w:pStyle w:val="ListBullet"/>
      </w:pPr>
      <w:r>
        <w:rPr>
          <w:color w:val="2A2A2A"/>
          <w:sz w:val="22"/>
        </w:rPr>
        <w:t>Loss experience for the previous five years must be documented on the risk profile summary.</w:t>
      </w:r>
    </w:p>
    <w:p>
      <w:pPr>
        <w:pStyle w:val="ListBullet"/>
      </w:pPr>
      <w:r>
        <w:rPr>
          <w:color w:val="2A2A2A"/>
          <w:sz w:val="22"/>
        </w:rPr>
        <w:t>Any deviation from the manual must be documented with the approver, date and rationale.</w:t>
      </w:r>
    </w:p>
    <w:p>
      <w:pPr>
        <w:pStyle w:val="ListBullet"/>
      </w:pPr>
      <w:r>
        <w:rPr>
          <w:color w:val="2A2A2A"/>
          <w:sz w:val="22"/>
        </w:rPr>
        <w:t>The risk profile summary must be reviewed and refreshed at every renewal.</w:t>
      </w:r>
    </w:p>
    <w:p>
      <w:r>
        <w:rPr>
          <w:b/>
          <w:color w:val="2A2A2A"/>
          <w:sz w:val="26"/>
        </w:rPr>
        <w:t>11. Sharia lines cross reference</w:t>
      </w:r>
    </w:p>
    <w:p>
      <w:r>
        <w:rPr>
          <w:b w:val="0"/>
          <w:i w:val="0"/>
          <w:color w:val="2A2A2A"/>
          <w:sz w:val="22"/>
        </w:rPr>
        <w:t>For risks written under the sharia takaful window, refer to Section 12 for the tabarru contribution principles, the wakala fee framework, and the surplus distribution rules. The technical underwriting principles set out in Sections 3 to 10 apply equally to sharia risks.</w:t>
      </w:r>
    </w:p>
    <w:p>
      <w:r>
        <w:rPr>
          <w:b/>
          <w:color w:val="2A2A2A"/>
          <w:sz w:val="26"/>
        </w:rPr>
        <w:t>12. Change log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Version</w:t>
            </w:r>
          </w:p>
        </w:tc>
        <w:tc>
          <w:tcPr>
            <w:tcW w:type="dxa" w:w="2880"/>
          </w:tcPr>
          <w:p>
            <w:r>
              <w:t>Date</w:t>
            </w:r>
          </w:p>
        </w:tc>
        <w:tc>
          <w:tcPr>
            <w:tcW w:type="dxa" w:w="2880"/>
          </w:tcPr>
          <w:p>
            <w:r>
              <w:t>Change</w:t>
            </w:r>
          </w:p>
        </w:tc>
      </w:tr>
      <w:tr>
        <w:tc>
          <w:tcPr>
            <w:tcW w:type="dxa" w:w="2880"/>
          </w:tcPr>
          <w:p>
            <w:r>
              <w:t>v3.2</w:t>
            </w:r>
          </w:p>
        </w:tc>
        <w:tc>
          <w:tcPr>
            <w:tcW w:type="dxa" w:w="2880"/>
          </w:tcPr>
          <w:p>
            <w:r>
              <w:t>01 Apr 2026</w:t>
            </w:r>
          </w:p>
        </w:tc>
        <w:tc>
          <w:tcPr>
            <w:tcW w:type="dxa" w:w="2880"/>
          </w:tcPr>
          <w:p>
            <w:r>
              <w:t>Added terrorism pool wording clarification; refreshed treaty capacity.</w:t>
            </w:r>
          </w:p>
        </w:tc>
      </w:tr>
      <w:tr>
        <w:tc>
          <w:tcPr>
            <w:tcW w:type="dxa" w:w="2880"/>
          </w:tcPr>
          <w:p>
            <w:r>
              <w:t>v3.1</w:t>
            </w:r>
          </w:p>
        </w:tc>
        <w:tc>
          <w:tcPr>
            <w:tcW w:type="dxa" w:w="2880"/>
          </w:tcPr>
          <w:p>
            <w:r>
              <w:t>01 Oct 2025</w:t>
            </w:r>
          </w:p>
        </w:tc>
        <w:tc>
          <w:tcPr>
            <w:tcW w:type="dxa" w:w="2880"/>
          </w:tcPr>
          <w:p>
            <w:r>
              <w:t>Added digital survey acceptance for sum insured under IDR 25 bn.</w:t>
            </w:r>
          </w:p>
        </w:tc>
      </w:tr>
      <w:tr>
        <w:tc>
          <w:tcPr>
            <w:tcW w:type="dxa" w:w="2880"/>
          </w:tcPr>
          <w:p>
            <w:r>
              <w:t>v3.0</w:t>
            </w:r>
          </w:p>
        </w:tc>
        <w:tc>
          <w:tcPr>
            <w:tcW w:type="dxa" w:w="2880"/>
          </w:tcPr>
          <w:p>
            <w:r>
              <w:t>01 Apr 2025</w:t>
            </w:r>
          </w:p>
        </w:tc>
        <w:tc>
          <w:tcPr>
            <w:tcW w:type="dxa" w:w="2880"/>
          </w:tcPr>
          <w:p>
            <w:r>
              <w:t>Full rewrite following AAUI tariff refresh.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