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8102E"/>
          <w:sz w:val="44"/>
        </w:rPr>
        <w:t>Contoso General Assurance Indonesia</w:t>
      </w:r>
    </w:p>
    <w:p>
      <w:r>
        <w:rPr>
          <w:b/>
          <w:color w:val="2A2A2A"/>
          <w:sz w:val="30"/>
        </w:rPr>
        <w:t>Brand Voice and Communications Guidelines</w:t>
      </w:r>
    </w:p>
    <w:p>
      <w:r>
        <w:rPr>
          <w:b w:val="0"/>
          <w:i/>
          <w:color w:val="6B7280"/>
          <w:sz w:val="22"/>
        </w:rPr>
        <w:t>Owner: Corporate Communications. Version 2026.1. Applies to all internal and external communications.</w:t>
      </w:r>
    </w:p>
    <w:p>
      <w:r>
        <w:t>__________________________________________________________________________________________</w:t>
      </w:r>
    </w:p>
    <w:p>
      <w:r>
        <w:rPr>
          <w:b/>
          <w:color w:val="2A2A2A"/>
          <w:sz w:val="26"/>
        </w:rPr>
        <w:t>1. Who we are</w:t>
      </w:r>
    </w:p>
    <w:p>
      <w:r>
        <w:rPr>
          <w:b w:val="0"/>
          <w:i w:val="0"/>
          <w:color w:val="2A2A2A"/>
          <w:sz w:val="22"/>
        </w:rPr>
        <w:t>Contoso General Assurance Indonesia (CGA) is a general insurer serving Indonesian corporates, small and medium enterprises, and retail customers across motor, property and fire, marine cargo, engineering, liability, personal accident, health, and sharia product lines. We distribute through brokers, agents, bancassurance, leasing partners, and auto manufacturers. Our purpose is to keep Indonesian businesses and families moving forward, especially when the unexpected happens.</w:t>
      </w:r>
    </w:p>
    <w:p>
      <w:r>
        <w:rPr>
          <w:b/>
          <w:color w:val="2A2A2A"/>
          <w:sz w:val="26"/>
        </w:rPr>
        <w:t>2. Brand voice principles</w:t>
      </w:r>
    </w:p>
    <w:p>
      <w:pPr>
        <w:pStyle w:val="ListBullet"/>
      </w:pPr>
      <w:r>
        <w:rPr>
          <w:color w:val="2A2A2A"/>
          <w:sz w:val="22"/>
        </w:rPr>
        <w:t>Clear over clever. Prefer plain Bahasa Indonesia and plain English. Assume the reader has no insurance background.</w:t>
      </w:r>
    </w:p>
    <w:p>
      <w:pPr>
        <w:pStyle w:val="ListBullet"/>
      </w:pPr>
      <w:r>
        <w:rPr>
          <w:color w:val="2A2A2A"/>
          <w:sz w:val="22"/>
        </w:rPr>
        <w:t>Warm over corporate. We are a service business. Our writing should sound like a helpful colleague, not a legal notice.</w:t>
      </w:r>
    </w:p>
    <w:p>
      <w:pPr>
        <w:pStyle w:val="ListBullet"/>
      </w:pPr>
      <w:r>
        <w:rPr>
          <w:color w:val="2A2A2A"/>
          <w:sz w:val="22"/>
        </w:rPr>
        <w:t>Confident but never arrogant. We back our claims with evidence. We do not oversell.</w:t>
      </w:r>
    </w:p>
    <w:p>
      <w:pPr>
        <w:pStyle w:val="ListBullet"/>
      </w:pPr>
      <w:r>
        <w:rPr>
          <w:color w:val="2A2A2A"/>
          <w:sz w:val="22"/>
        </w:rPr>
        <w:t>Local first. Our tone reflects the way Indonesian customers, partners and colleagues actually speak.</w:t>
      </w:r>
    </w:p>
    <w:p>
      <w:pPr>
        <w:pStyle w:val="ListBullet"/>
      </w:pPr>
      <w:r>
        <w:rPr>
          <w:color w:val="2A2A2A"/>
          <w:sz w:val="22"/>
        </w:rPr>
        <w:t>Honest about limits. When something is not covered, we say so plainly, and we explain what is covered.</w:t>
      </w:r>
    </w:p>
    <w:p>
      <w:r>
        <w:rPr>
          <w:b/>
          <w:color w:val="2A2A2A"/>
          <w:sz w:val="26"/>
        </w:rPr>
        <w:t>3. Voice by audience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Tone</w:t>
            </w:r>
          </w:p>
        </w:tc>
        <w:tc>
          <w:tcPr>
            <w:tcW w:type="dxa" w:w="2880"/>
          </w:tcPr>
          <w:p>
            <w:r>
              <w:t>Example opener</w:t>
            </w:r>
          </w:p>
        </w:tc>
      </w:tr>
      <w:tr>
        <w:tc>
          <w:tcPr>
            <w:tcW w:type="dxa" w:w="2880"/>
          </w:tcPr>
          <w:p>
            <w:r>
              <w:t>Retail customer</w:t>
            </w:r>
          </w:p>
        </w:tc>
        <w:tc>
          <w:tcPr>
            <w:tcW w:type="dxa" w:w="2880"/>
          </w:tcPr>
          <w:p>
            <w:r>
              <w:t>Warm, plain, empathetic</w:t>
            </w:r>
          </w:p>
        </w:tc>
        <w:tc>
          <w:tcPr>
            <w:tcW w:type="dxa" w:w="2880"/>
          </w:tcPr>
          <w:p>
            <w:r>
              <w:t>Terima kasih telah menghubungi Contoso General Assurance. Kami di sini untuk membantu.</w:t>
            </w:r>
          </w:p>
        </w:tc>
      </w:tr>
      <w:tr>
        <w:tc>
          <w:tcPr>
            <w:tcW w:type="dxa" w:w="2880"/>
          </w:tcPr>
          <w:p>
            <w:r>
              <w:t>SME customer</w:t>
            </w:r>
          </w:p>
        </w:tc>
        <w:tc>
          <w:tcPr>
            <w:tcW w:type="dxa" w:w="2880"/>
          </w:tcPr>
          <w:p>
            <w:r>
              <w:t>Practical, business friendly</w:t>
            </w:r>
          </w:p>
        </w:tc>
        <w:tc>
          <w:tcPr>
            <w:tcW w:type="dxa" w:w="2880"/>
          </w:tcPr>
          <w:p>
            <w:r>
              <w:t>Kami memahami bahwa waktu Anda berharga. Berikut langkah singkat berikutnya.</w:t>
            </w:r>
          </w:p>
        </w:tc>
      </w:tr>
      <w:tr>
        <w:tc>
          <w:tcPr>
            <w:tcW w:type="dxa" w:w="2880"/>
          </w:tcPr>
          <w:p>
            <w:r>
              <w:t>Corporate broker or client</w:t>
            </w:r>
          </w:p>
        </w:tc>
        <w:tc>
          <w:tcPr>
            <w:tcW w:type="dxa" w:w="2880"/>
          </w:tcPr>
          <w:p>
            <w:r>
              <w:t>Professional, precise, evidence based</w:t>
            </w:r>
          </w:p>
        </w:tc>
        <w:tc>
          <w:tcPr>
            <w:tcW w:type="dxa" w:w="2880"/>
          </w:tcPr>
          <w:p>
            <w:r>
              <w:t>Please find below the underwriting position and recommended next steps.</w:t>
            </w:r>
          </w:p>
        </w:tc>
      </w:tr>
      <w:tr>
        <w:tc>
          <w:tcPr>
            <w:tcW w:type="dxa" w:w="2880"/>
          </w:tcPr>
          <w:p>
            <w:r>
              <w:t>Regulator</w:t>
            </w:r>
          </w:p>
        </w:tc>
        <w:tc>
          <w:tcPr>
            <w:tcW w:type="dxa" w:w="2880"/>
          </w:tcPr>
          <w:p>
            <w:r>
              <w:t>Formal, factual, cooperative</w:t>
            </w:r>
          </w:p>
        </w:tc>
        <w:tc>
          <w:tcPr>
            <w:tcW w:type="dxa" w:w="2880"/>
          </w:tcPr>
          <w:p>
            <w:r>
              <w:t>We respectfully submit the following response to the Otoritas Jasa Keuangan request dated...</w:t>
            </w:r>
          </w:p>
        </w:tc>
      </w:tr>
      <w:tr>
        <w:tc>
          <w:tcPr>
            <w:tcW w:type="dxa" w:w="2880"/>
          </w:tcPr>
          <w:p>
            <w:r>
              <w:t>Employee</w:t>
            </w:r>
          </w:p>
        </w:tc>
        <w:tc>
          <w:tcPr>
            <w:tcW w:type="dxa" w:w="2880"/>
          </w:tcPr>
          <w:p>
            <w:r>
              <w:t>Direct, encouraging, action oriented</w:t>
            </w:r>
          </w:p>
        </w:tc>
        <w:tc>
          <w:tcPr>
            <w:tcW w:type="dxa" w:w="2880"/>
          </w:tcPr>
          <w:p>
            <w:r>
              <w:t>Here is what changed this week, why it matters, and what you can do about it.</w:t>
            </w:r>
          </w:p>
        </w:tc>
      </w:tr>
    </w:tbl>
    <w:p>
      <w:r>
        <w:rPr>
          <w:b/>
          <w:color w:val="2A2A2A"/>
          <w:sz w:val="26"/>
        </w:rPr>
        <w:t>4. Words we prefer and words we avoid</w:t>
      </w:r>
    </w:p>
    <w:tbl>
      <w:tblPr>
        <w:tblStyle w:val="LightGrid-Accent1"/>
        <w:tblW w:type="auto" w:w="0"/>
        <w:tblLook w:firstColumn="1" w:firstRow="1" w:lastColumn="0" w:lastRow="0" w:noHBand="0" w:noVBand="1" w:val="04A0"/>
      </w:tblPr>
      <w:tblGrid>
        <w:gridCol w:w="4320"/>
        <w:gridCol w:w="4320"/>
      </w:tblGrid>
      <w:tr>
        <w:tc>
          <w:tcPr>
            <w:tcW w:type="dxa" w:w="4320"/>
          </w:tcPr>
          <w:p>
            <w:r>
              <w:t>Prefer</w:t>
            </w:r>
          </w:p>
        </w:tc>
        <w:tc>
          <w:tcPr>
            <w:tcW w:type="dxa" w:w="4320"/>
          </w:tcPr>
          <w:p>
            <w:r>
              <w:t>Avoid</w:t>
            </w:r>
          </w:p>
        </w:tc>
      </w:tr>
      <w:tr>
        <w:tc>
          <w:tcPr>
            <w:tcW w:type="dxa" w:w="4320"/>
          </w:tcPr>
          <w:p>
            <w:r>
              <w:t>Cover, we will pay, we will not pay</w:t>
            </w:r>
          </w:p>
        </w:tc>
        <w:tc>
          <w:tcPr>
            <w:tcW w:type="dxa" w:w="4320"/>
          </w:tcPr>
          <w:p>
            <w:r>
              <w:t>Indemnify, defray, disburse</w:t>
            </w:r>
          </w:p>
        </w:tc>
      </w:tr>
      <w:tr>
        <w:tc>
          <w:tcPr>
            <w:tcW w:type="dxa" w:w="4320"/>
          </w:tcPr>
          <w:p>
            <w:r>
              <w:t>Claim, tuntutan klaim</w:t>
            </w:r>
          </w:p>
        </w:tc>
        <w:tc>
          <w:tcPr>
            <w:tcW w:type="dxa" w:w="4320"/>
          </w:tcPr>
          <w:p>
            <w:r>
              <w:t>Cause of action</w:t>
            </w:r>
          </w:p>
        </w:tc>
      </w:tr>
      <w:tr>
        <w:tc>
          <w:tcPr>
            <w:tcW w:type="dxa" w:w="4320"/>
          </w:tcPr>
          <w:p>
            <w:r>
              <w:t>Renewal, perpanjangan</w:t>
            </w:r>
          </w:p>
        </w:tc>
        <w:tc>
          <w:tcPr>
            <w:tcW w:type="dxa" w:w="4320"/>
          </w:tcPr>
          <w:p>
            <w:r>
              <w:t>Rollover</w:t>
            </w:r>
          </w:p>
        </w:tc>
      </w:tr>
      <w:tr>
        <w:tc>
          <w:tcPr>
            <w:tcW w:type="dxa" w:w="4320"/>
          </w:tcPr>
          <w:p>
            <w:r>
              <w:t>Premium, premi</w:t>
            </w:r>
          </w:p>
        </w:tc>
        <w:tc>
          <w:tcPr>
            <w:tcW w:type="dxa" w:w="4320"/>
          </w:tcPr>
          <w:p>
            <w:r>
              <w:t>Consideration</w:t>
            </w:r>
          </w:p>
        </w:tc>
      </w:tr>
      <w:tr>
        <w:tc>
          <w:tcPr>
            <w:tcW w:type="dxa" w:w="4320"/>
          </w:tcPr>
          <w:p>
            <w:r>
              <w:t>Partner, mitra</w:t>
            </w:r>
          </w:p>
        </w:tc>
        <w:tc>
          <w:tcPr>
            <w:tcW w:type="dxa" w:w="4320"/>
          </w:tcPr>
          <w:p>
            <w:r>
              <w:t>Vendor</w:t>
            </w:r>
          </w:p>
        </w:tc>
      </w:tr>
      <w:tr>
        <w:tc>
          <w:tcPr>
            <w:tcW w:type="dxa" w:w="4320"/>
          </w:tcPr>
          <w:p>
            <w:r>
              <w:t>Customer, nasabah</w:t>
            </w:r>
          </w:p>
        </w:tc>
        <w:tc>
          <w:tcPr>
            <w:tcW w:type="dxa" w:w="4320"/>
          </w:tcPr>
          <w:p>
            <w:r>
              <w:t>End user</w:t>
            </w:r>
          </w:p>
        </w:tc>
      </w:tr>
      <w:tr>
        <w:tc>
          <w:tcPr>
            <w:tcW w:type="dxa" w:w="4320"/>
          </w:tcPr>
          <w:p>
            <w:r>
              <w:t>Please, mohon</w:t>
            </w:r>
          </w:p>
        </w:tc>
        <w:tc>
          <w:tcPr>
            <w:tcW w:type="dxa" w:w="4320"/>
          </w:tcPr>
          <w:p>
            <w:r>
              <w:t>Kindly</w:t>
            </w:r>
          </w:p>
        </w:tc>
      </w:tr>
      <w:tr>
        <w:tc>
          <w:tcPr>
            <w:tcW w:type="dxa" w:w="4320"/>
          </w:tcPr>
          <w:p>
            <w:r>
              <w:t>Send, kirim</w:t>
            </w:r>
          </w:p>
        </w:tc>
        <w:tc>
          <w:tcPr>
            <w:tcW w:type="dxa" w:w="4320"/>
          </w:tcPr>
          <w:p>
            <w:r>
              <w:t>Furnish</w:t>
            </w:r>
          </w:p>
        </w:tc>
      </w:tr>
      <w:tr>
        <w:tc>
          <w:tcPr>
            <w:tcW w:type="dxa" w:w="4320"/>
          </w:tcPr>
          <w:p>
            <w:r>
              <w:t>Now, sekarang</w:t>
            </w:r>
          </w:p>
        </w:tc>
        <w:tc>
          <w:tcPr>
            <w:tcW w:type="dxa" w:w="4320"/>
          </w:tcPr>
          <w:p>
            <w:r>
              <w:t>At this juncture</w:t>
            </w:r>
          </w:p>
        </w:tc>
      </w:tr>
    </w:tbl>
    <w:p>
      <w:r>
        <w:rPr>
          <w:b/>
          <w:color w:val="2A2A2A"/>
          <w:sz w:val="26"/>
        </w:rPr>
        <w:t>5. Bilingual writing</w:t>
      </w:r>
    </w:p>
    <w:p>
      <w:pPr>
        <w:pStyle w:val="ListBullet"/>
      </w:pPr>
      <w:r>
        <w:rPr>
          <w:color w:val="2A2A2A"/>
          <w:sz w:val="22"/>
        </w:rPr>
        <w:t>Every external customer communication must be available in Bahasa Indonesia. English is optional and offered for corporate and international audiences.</w:t>
      </w:r>
    </w:p>
    <w:p>
      <w:pPr>
        <w:pStyle w:val="ListBullet"/>
      </w:pPr>
      <w:r>
        <w:rPr>
          <w:color w:val="2A2A2A"/>
          <w:sz w:val="22"/>
        </w:rPr>
        <w:t>Where both languages appear, Bahasa Indonesia comes first, then English.</w:t>
      </w:r>
    </w:p>
    <w:p>
      <w:pPr>
        <w:pStyle w:val="ListBullet"/>
      </w:pPr>
      <w:r>
        <w:rPr>
          <w:color w:val="2A2A2A"/>
          <w:sz w:val="22"/>
        </w:rPr>
        <w:t>Numbers use Indonesian formatting with a period as the thousands separator and a comma as the decimal separator when writing in Bahasa Indonesia.</w:t>
      </w:r>
    </w:p>
    <w:p>
      <w:pPr>
        <w:pStyle w:val="ListBullet"/>
      </w:pPr>
      <w:r>
        <w:rPr>
          <w:color w:val="2A2A2A"/>
          <w:sz w:val="22"/>
        </w:rPr>
        <w:t>Currency is written as IDR or Rp; both are acceptable.</w:t>
      </w:r>
    </w:p>
    <w:p>
      <w:pPr>
        <w:pStyle w:val="ListBullet"/>
      </w:pPr>
      <w:r>
        <w:rPr>
          <w:color w:val="2A2A2A"/>
          <w:sz w:val="22"/>
        </w:rPr>
        <w:t>Do not mix languages within a single sentence.</w:t>
      </w:r>
    </w:p>
    <w:p>
      <w:r>
        <w:rPr>
          <w:b/>
          <w:color w:val="2A2A2A"/>
          <w:sz w:val="26"/>
        </w:rPr>
        <w:t>6. Visual identity in brief</w:t>
      </w:r>
    </w:p>
    <w:p>
      <w:pPr>
        <w:pStyle w:val="ListBullet"/>
      </w:pPr>
      <w:r>
        <w:rPr>
          <w:color w:val="2A2A2A"/>
          <w:sz w:val="22"/>
        </w:rPr>
        <w:t>Primary colour: CGA Red. Secondary colour: Charcoal. Accent: Warm Grey. Use hex codes from the design system only inside design files and stylesheets.</w:t>
      </w:r>
    </w:p>
    <w:p>
      <w:pPr>
        <w:pStyle w:val="ListBullet"/>
      </w:pPr>
      <w:r>
        <w:rPr>
          <w:color w:val="2A2A2A"/>
          <w:sz w:val="22"/>
        </w:rPr>
        <w:t>Logo has minimum clear space equal to the height of the C in Contoso.</w:t>
      </w:r>
    </w:p>
    <w:p>
      <w:pPr>
        <w:pStyle w:val="ListBullet"/>
      </w:pPr>
      <w:r>
        <w:rPr>
          <w:color w:val="2A2A2A"/>
          <w:sz w:val="22"/>
        </w:rPr>
        <w:t>Photography features Indonesian people, workplaces and landscapes, warm natural light, no stock cliches.</w:t>
      </w:r>
    </w:p>
    <w:p>
      <w:pPr>
        <w:pStyle w:val="ListBullet"/>
      </w:pPr>
      <w:r>
        <w:rPr>
          <w:color w:val="2A2A2A"/>
          <w:sz w:val="22"/>
        </w:rPr>
        <w:t>Icons are line based, single weight, and use the primary colour or charcoal.</w:t>
      </w:r>
    </w:p>
    <w:p>
      <w:r>
        <w:rPr>
          <w:b/>
          <w:color w:val="2A2A2A"/>
          <w:sz w:val="26"/>
        </w:rPr>
        <w:t>7. Templates and where to find them</w:t>
      </w:r>
    </w:p>
    <w:p>
      <w:pPr>
        <w:pStyle w:val="ListBullet"/>
      </w:pPr>
      <w:r>
        <w:rPr>
          <w:color w:val="2A2A2A"/>
          <w:sz w:val="22"/>
        </w:rPr>
        <w:t>Customer letters: SharePoint &gt; Corporate Comms &gt; Templates &gt; Letters.</w:t>
      </w:r>
    </w:p>
    <w:p>
      <w:pPr>
        <w:pStyle w:val="ListBullet"/>
      </w:pPr>
      <w:r>
        <w:rPr>
          <w:color w:val="2A2A2A"/>
          <w:sz w:val="22"/>
        </w:rPr>
        <w:t>Broker and partner briefings: SharePoint &gt; Corporate Comms &gt; Templates &gt; Partner communications.</w:t>
      </w:r>
    </w:p>
    <w:p>
      <w:pPr>
        <w:pStyle w:val="ListBullet"/>
      </w:pPr>
      <w:r>
        <w:rPr>
          <w:color w:val="2A2A2A"/>
          <w:sz w:val="22"/>
        </w:rPr>
        <w:t>Regulatory submissions: SharePoint &gt; Legal and Compliance &gt; Templates &gt; Regulatory.</w:t>
      </w:r>
    </w:p>
    <w:p>
      <w:pPr>
        <w:pStyle w:val="ListBullet"/>
      </w:pPr>
      <w:r>
        <w:rPr>
          <w:color w:val="2A2A2A"/>
          <w:sz w:val="22"/>
        </w:rPr>
        <w:t>Employee internal comms: Viva Engage &gt; Internal Communications community.</w:t>
      </w:r>
    </w:p>
    <w:p>
      <w:r>
        <w:rPr>
          <w:b/>
          <w:color w:val="2A2A2A"/>
          <w:sz w:val="26"/>
        </w:rPr>
        <w:t>8. Do and do not</w:t>
      </w:r>
    </w:p>
    <w:p>
      <w:pPr>
        <w:pStyle w:val="ListBullet"/>
      </w:pPr>
      <w:r>
        <w:rPr>
          <w:color w:val="2A2A2A"/>
          <w:sz w:val="22"/>
        </w:rPr>
        <w:t>Do write like a person, not a legal document.</w:t>
      </w:r>
    </w:p>
    <w:p>
      <w:pPr>
        <w:pStyle w:val="ListBullet"/>
      </w:pPr>
      <w:r>
        <w:rPr>
          <w:color w:val="2A2A2A"/>
          <w:sz w:val="22"/>
        </w:rPr>
        <w:t>Do lead with the answer, then explain the reasoning.</w:t>
      </w:r>
    </w:p>
    <w:p>
      <w:pPr>
        <w:pStyle w:val="ListBullet"/>
      </w:pPr>
      <w:r>
        <w:rPr>
          <w:color w:val="2A2A2A"/>
          <w:sz w:val="22"/>
        </w:rPr>
        <w:t>Do give the customer a clear next step.</w:t>
      </w:r>
    </w:p>
    <w:p>
      <w:pPr>
        <w:pStyle w:val="ListBullet"/>
      </w:pPr>
      <w:r>
        <w:rPr>
          <w:color w:val="2A2A2A"/>
          <w:sz w:val="22"/>
        </w:rPr>
        <w:t>Do not use em dashes or en dashes in customer communications. Use commas or a hyphen with spaces.</w:t>
      </w:r>
    </w:p>
    <w:p>
      <w:pPr>
        <w:pStyle w:val="ListBullet"/>
      </w:pPr>
      <w:r>
        <w:rPr>
          <w:color w:val="2A2A2A"/>
          <w:sz w:val="22"/>
        </w:rPr>
        <w:t>Do not include hex colour codes in customer facing copy.</w:t>
      </w:r>
    </w:p>
    <w:p>
      <w:pPr>
        <w:pStyle w:val="ListBullet"/>
      </w:pPr>
      <w:r>
        <w:rPr>
          <w:color w:val="2A2A2A"/>
          <w:sz w:val="22"/>
        </w:rPr>
        <w:t>Do not use jargon that a customer would need to look up.</w:t>
      </w:r>
    </w:p>
    <w:p>
      <w:pPr>
        <w:pStyle w:val="ListBullet"/>
      </w:pPr>
      <w:r>
        <w:rPr>
          <w:color w:val="2A2A2A"/>
          <w:sz w:val="22"/>
        </w:rPr>
        <w:t>Do not blame the customer, even implicitly.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