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2"/>
        </w:rPr>
        <w:t>OTORITAS JASA KEUANGAN</w:t>
      </w:r>
    </w:p>
    <w:p>
      <w:r>
        <w:rPr>
          <w:b w:val="0"/>
          <w:color w:val="555555"/>
          <w:sz w:val="18"/>
        </w:rPr>
        <w:t>REPUBLIK INDONESIA</w:t>
      </w:r>
    </w:p>
    <w:p/>
    <w:p>
      <w:r>
        <w:rPr>
          <w:b/>
          <w:color w:val="8B0A22"/>
          <w:sz w:val="26"/>
        </w:rPr>
        <w:t>SURAT EDARAN OJK NO. 27/SEOJK.05/2026</w:t>
      </w:r>
    </w:p>
    <w:p>
      <w:r>
        <w:rPr>
          <w:b w:val="0"/>
          <w:i/>
          <w:sz w:val="20"/>
        </w:rPr>
        <w:t>Tanggal: 12 Oktober 2026</w:t>
      </w:r>
    </w:p>
    <w:p/>
    <w:p>
      <w:r>
        <w:rPr>
          <w:b/>
          <w:i w:val="0"/>
          <w:sz w:val="21"/>
        </w:rPr>
        <w:t>Kepada: Seluruh Perusahaan Asuransi Umum di Indonesia</w:t>
      </w:r>
    </w:p>
    <w:p>
      <w:r>
        <w:rPr>
          <w:b/>
          <w:i w:val="0"/>
          <w:sz w:val="21"/>
        </w:rPr>
        <w:t>Perihal: Penguatan Tata Kelola Penanganan Klaim dan Kecepatan Layanan Nasabah untuk Lini Usaha Asuransi Umum</w:t>
      </w:r>
    </w:p>
    <w:p/>
    <w:p>
      <w:r>
        <w:rPr>
          <w:b w:val="0"/>
          <w:i/>
          <w:sz w:val="18"/>
        </w:rPr>
        <w:t>NOTE: This is a synthetic training document for the CGA Copilot Immersion. It is not an actual OJK circular. Numbers, references and dates are fabricated for demonstration only.</w:t>
      </w:r>
    </w:p>
    <w:p/>
    <w:p>
      <w:r>
        <w:rPr>
          <w:b/>
          <w:color w:val="8B0A22"/>
          <w:sz w:val="24"/>
        </w:rPr>
        <w:t>1. Latar Belakang</w:t>
      </w:r>
    </w:p>
    <w:p>
      <w:r>
        <w:rPr>
          <w:b w:val="0"/>
          <w:i w:val="0"/>
          <w:sz w:val="21"/>
        </w:rPr>
        <w:t>Berdasarkan pemantauan Otoritas Jasa Keuangan (OJK) terhadap kinerja industri asuransi umum periode Januari sampai Juni 2026, tercatat peningkatan keluhan nasabah terkait kecepatan penyelesaian klaim, khususnya untuk lini usaha Motor, Property Fire dan Marine Cargo. Rata rata industri untuk Turn Around Time (TAT) klaim motor mencapai 18 hari kerja, klaim property fire 34 hari kerja, dan klaim marine cargo 22 hari kerja. Angka ini masih di atas standar layanan yang direkomendasikan ASEAN Insurance Regulators Meeting 2025.</w:t>
      </w:r>
    </w:p>
    <w:p>
      <w:r>
        <w:rPr>
          <w:b/>
          <w:color w:val="8B0A22"/>
          <w:sz w:val="24"/>
        </w:rPr>
        <w:t>2. Ketentuan Baru yang Wajib Diikuti</w:t>
      </w:r>
    </w:p>
    <w:p>
      <w:r>
        <w:rPr>
          <w:b/>
          <w:i w:val="0"/>
          <w:sz w:val="21"/>
        </w:rPr>
        <w:t>Efektif per 1 Januari 2027, seluruh perusahaan asuransi umum wajib menerapkan ketentuan berikut:</w:t>
      </w:r>
    </w:p>
    <w:p>
      <w:pPr>
        <w:pStyle w:val="ListBullet"/>
      </w:pPr>
      <w:r>
        <w:rPr>
          <w:sz w:val="21"/>
        </w:rPr>
        <w:t>Batas maksimum penyelesaian klaim motor tanpa sengketa: 14 hari kerja sejak dokumen lengkap diterima.</w:t>
      </w:r>
    </w:p>
    <w:p>
      <w:pPr>
        <w:pStyle w:val="ListBullet"/>
      </w:pPr>
      <w:r>
        <w:rPr>
          <w:sz w:val="21"/>
        </w:rPr>
        <w:t>Batas maksimum penyelesaian klaim property fire tanpa sengketa: 28 hari kerja sejak survey lapangan.</w:t>
      </w:r>
    </w:p>
    <w:p>
      <w:pPr>
        <w:pStyle w:val="ListBullet"/>
      </w:pPr>
      <w:r>
        <w:rPr>
          <w:sz w:val="21"/>
        </w:rPr>
        <w:t>Batas maksimum penyelesaian klaim marine cargo: 21 hari kerja sejak dokumen kepabeanan diterima.</w:t>
      </w:r>
    </w:p>
    <w:p>
      <w:pPr>
        <w:pStyle w:val="ListBullet"/>
      </w:pPr>
      <w:r>
        <w:rPr>
          <w:sz w:val="21"/>
        </w:rPr>
        <w:t>Publikasi TAT rata rata per lini usaha di website perusahaan, diperbarui setiap kuartal.</w:t>
      </w:r>
    </w:p>
    <w:p>
      <w:pPr>
        <w:pStyle w:val="ListBullet"/>
      </w:pPr>
      <w:r>
        <w:rPr>
          <w:sz w:val="21"/>
        </w:rPr>
        <w:t>Penyediaan kanal pengaduan digital 24 jam dengan Service Level Agreement respon awal maksimum 2 jam kerja.</w:t>
      </w:r>
    </w:p>
    <w:p>
      <w:pPr>
        <w:pStyle w:val="ListBullet"/>
      </w:pPr>
      <w:r>
        <w:rPr>
          <w:sz w:val="21"/>
        </w:rPr>
        <w:t>Penunjukan Chief Claims Officer atau setingkatnya sebagai penanggung jawab tata kelola penanganan klaim, dilaporkan kepada OJK dalam 30 hari sejak surat edaran berlaku.</w:t>
      </w:r>
    </w:p>
    <w:p>
      <w:r>
        <w:rPr>
          <w:b/>
          <w:color w:val="8B0A22"/>
          <w:sz w:val="24"/>
        </w:rPr>
        <w:t>3. Persyaratan Pelaporan</w:t>
      </w:r>
    </w:p>
    <w:p>
      <w:r>
        <w:rPr>
          <w:b w:val="0"/>
          <w:i w:val="0"/>
          <w:sz w:val="21"/>
        </w:rPr>
        <w:t>Setiap perusahaan wajib menyampaikan laporan kepatuhan berkala kepada OJK:</w:t>
      </w:r>
    </w:p>
    <w:p>
      <w:pPr>
        <w:pStyle w:val="ListBullet"/>
      </w:pPr>
      <w:r>
        <w:rPr>
          <w:sz w:val="21"/>
        </w:rPr>
        <w:t>Laporan bulanan TAT per lini usaha, disampaikan paling lambat tanggal 10 bulan berikutnya.</w:t>
      </w:r>
    </w:p>
    <w:p>
      <w:pPr>
        <w:pStyle w:val="ListBullet"/>
      </w:pPr>
      <w:r>
        <w:rPr>
          <w:sz w:val="21"/>
        </w:rPr>
        <w:t>Laporan kuartalan kualitas layanan klaim, mencakup Net Promoter Score dan tingkat penyelesaian keluhan.</w:t>
      </w:r>
    </w:p>
    <w:p>
      <w:pPr>
        <w:pStyle w:val="ListBullet"/>
      </w:pPr>
      <w:r>
        <w:rPr>
          <w:sz w:val="21"/>
        </w:rPr>
        <w:t>Laporan tahunan self assessment tata kelola klaim, disampaikan bersama Laporan Tahunan.</w:t>
      </w:r>
    </w:p>
    <w:p>
      <w:r>
        <w:rPr>
          <w:b/>
          <w:color w:val="8B0A22"/>
          <w:sz w:val="24"/>
        </w:rPr>
        <w:t>4. Sanksi</w:t>
      </w:r>
    </w:p>
    <w:p>
      <w:r>
        <w:rPr>
          <w:b w:val="0"/>
          <w:i w:val="0"/>
          <w:sz w:val="21"/>
        </w:rPr>
        <w:t>Ketidakpatuhan terhadap surat edaran ini dapat dikenakan sanksi administratif berupa peringatan tertulis, pembatasan kegiatan usaha untuk lini terkait, dan atau denda administratif sesuai dengan ketentuan Pasal 71 Undang Undang Nomor 40 Tahun 2014 tentang Perasuransian.</w:t>
      </w:r>
    </w:p>
    <w:p>
      <w:r>
        <w:rPr>
          <w:b/>
          <w:color w:val="8B0A22"/>
          <w:sz w:val="24"/>
        </w:rPr>
        <w:t>5. Ketentuan Peralihan</w:t>
      </w:r>
    </w:p>
    <w:p>
      <w:r>
        <w:rPr>
          <w:b w:val="0"/>
          <w:i w:val="0"/>
          <w:sz w:val="21"/>
        </w:rPr>
        <w:t>Perusahaan diberikan masa transisi tiga bulan (Oktober sampai Desember 2026) untuk melakukan penyesuaian proses internal, sistem, dan pelatihan sumber daya manusia. Perusahaan yang memerlukan waktu tambahan wajib menyampaikan rencana kepatuhan tertulis kepada OJK paling lambat 30 November 2026.</w:t>
      </w:r>
    </w:p>
    <w:p>
      <w:r>
        <w:rPr>
          <w:b/>
          <w:color w:val="8B0A22"/>
          <w:sz w:val="24"/>
        </w:rPr>
        <w:t>6. Kontak</w:t>
      </w:r>
    </w:p>
    <w:p>
      <w:r>
        <w:rPr>
          <w:b w:val="0"/>
          <w:i w:val="0"/>
          <w:sz w:val="21"/>
        </w:rPr>
        <w:t>Pertanyaan mengenai surat edaran ini dapat disampaikan kepada Direktorat Pengawasan Industri Keuangan Non Bank 2A, Otoritas Jasa Keuangan.</w:t>
      </w:r>
    </w:p>
    <w:p/>
    <w:p>
      <w:r>
        <w:rPr>
          <w:b w:val="0"/>
          <w:i/>
          <w:sz w:val="21"/>
        </w:rPr>
        <w:t>Ditetapkan di Jakarta</w:t>
      </w:r>
    </w:p>
    <w:p>
      <w:r>
        <w:rPr>
          <w:b w:val="0"/>
          <w:i/>
          <w:sz w:val="21"/>
        </w:rPr>
        <w:t>Pada tanggal 12 Oktober 2026</w:t>
      </w:r>
    </w:p>
    <w:p>
      <w:r>
        <w:rPr>
          <w:b w:val="0"/>
          <w:i/>
          <w:sz w:val="21"/>
        </w:rPr>
        <w:t>Kepala Departemen Pengawasan IKNB 2A</w:t>
      </w:r>
    </w:p>
    <w:p>
      <w:r>
        <w:rPr>
          <w:b w:val="0"/>
          <w:i/>
          <w:sz w:val="18"/>
        </w:rPr>
        <w:t>(SINTETIS UNTUK PELATIHAN CGA COPILOT IMMERSION, BUKAN DOKUMEN OJK ASLI)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