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Sonepar Malaysia — Month-End Variance Memo</w:t>
      </w:r>
    </w:p>
    <w:p>
      <w:r>
        <w:t>Period: May 2026  •  Prepared by: Mei Ling Tan, Finance Manager  •  Reviewed by: Aishah Mahmud, Head of Operations  •  Date: 20 May 2026</w:t>
      </w:r>
    </w:p>
    <w:p>
      <w:pPr>
        <w:pStyle w:val="Heading1"/>
      </w:pPr>
      <w:r>
        <w:t>1. Headline</w:t>
      </w:r>
    </w:p>
    <w:p>
      <w:r>
        <w:t>Gross margin for May 2026 closed at 17.4% versus budget of 19.1%, a shortfall of 170 bps (RM 1.36M on revenue of RM 80.2M). Three drivers account for 92% of the shortfall: (a) ABB Helsinki VFD backorder forcing cross-ship from Singapore IBC at a 9% landed-cost premium, (b) USD/MYR depreciation against locked customer prices, and (c) one-off freight surcharge from Maersk on the Port Klang lane.</w:t>
      </w:r>
    </w:p>
    <w:p>
      <w:pPr>
        <w:pStyle w:val="Heading1"/>
      </w:pPr>
      <w:r>
        <w:t>2. Variance Bridge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Driver</w:t>
            </w:r>
          </w:p>
        </w:tc>
        <w:tc>
          <w:tcPr>
            <w:tcW w:type="dxa" w:w="2880"/>
          </w:tcPr>
          <w:p>
            <w:r>
              <w:t>Impact (RM)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ABB Helsinki cross-ship premium (3 SOs)</w:t>
            </w:r>
          </w:p>
        </w:tc>
        <w:tc>
          <w:tcPr>
            <w:tcW w:type="dxa" w:w="2880"/>
          </w:tcPr>
          <w:p>
            <w:r>
              <w:t>(620,000)</w:t>
            </w:r>
          </w:p>
        </w:tc>
        <w:tc>
          <w:tcPr>
            <w:tcW w:type="dxa" w:w="2880"/>
          </w:tcPr>
          <w:p>
            <w:r>
              <w:t>Aishah Mahmud / Suresh Kumar</w:t>
            </w:r>
          </w:p>
        </w:tc>
      </w:tr>
      <w:tr>
        <w:tc>
          <w:tcPr>
            <w:tcW w:type="dxa" w:w="2880"/>
          </w:tcPr>
          <w:p>
            <w:r>
              <w:t>USD/MYR FX vs locked customer prices</w:t>
            </w:r>
          </w:p>
        </w:tc>
        <w:tc>
          <w:tcPr>
            <w:tcW w:type="dxa" w:w="2880"/>
          </w:tcPr>
          <w:p>
            <w:r>
              <w:t>(410,000)</w:t>
            </w:r>
          </w:p>
        </w:tc>
        <w:tc>
          <w:tcPr>
            <w:tcW w:type="dxa" w:w="2880"/>
          </w:tcPr>
          <w:p>
            <w:r>
              <w:t>Mei Ling Tan</w:t>
            </w:r>
          </w:p>
        </w:tc>
      </w:tr>
      <w:tr>
        <w:tc>
          <w:tcPr>
            <w:tcW w:type="dxa" w:w="2880"/>
          </w:tcPr>
          <w:p>
            <w:r>
              <w:t>Maersk one-off freight surcharge — Klang lane</w:t>
            </w:r>
          </w:p>
        </w:tc>
        <w:tc>
          <w:tcPr>
            <w:tcW w:type="dxa" w:w="2880"/>
          </w:tcPr>
          <w:p>
            <w:r>
              <w:t>(220,000)</w:t>
            </w:r>
          </w:p>
        </w:tc>
        <w:tc>
          <w:tcPr>
            <w:tcW w:type="dxa" w:w="2880"/>
          </w:tcPr>
          <w:p>
            <w:r>
              <w:t>Aishah Mahmud</w:t>
            </w:r>
          </w:p>
        </w:tc>
      </w:tr>
      <w:tr>
        <w:tc>
          <w:tcPr>
            <w:tcW w:type="dxa" w:w="2880"/>
          </w:tcPr>
          <w:p>
            <w:r>
              <w:t>Mix — lower-margin LV SKUs over-shipped</w:t>
            </w:r>
          </w:p>
        </w:tc>
        <w:tc>
          <w:tcPr>
            <w:tcW w:type="dxa" w:w="2880"/>
          </w:tcPr>
          <w:p>
            <w:r>
              <w:t>(75,000)</w:t>
            </w:r>
          </w:p>
        </w:tc>
        <w:tc>
          <w:tcPr>
            <w:tcW w:type="dxa" w:w="2880"/>
          </w:tcPr>
          <w:p>
            <w:r>
              <w:t>Razif Hassan</w:t>
            </w:r>
          </w:p>
        </w:tc>
      </w:tr>
      <w:tr>
        <w:tc>
          <w:tcPr>
            <w:tcW w:type="dxa" w:w="2880"/>
          </w:tcPr>
          <w:p>
            <w:r>
              <w:t>Cost recovery — Schneider rebate accrual</w:t>
            </w:r>
          </w:p>
        </w:tc>
        <w:tc>
          <w:tcPr>
            <w:tcW w:type="dxa" w:w="2880"/>
          </w:tcPr>
          <w:p>
            <w:r>
              <w:t>+45,000</w:t>
            </w:r>
          </w:p>
        </w:tc>
        <w:tc>
          <w:tcPr>
            <w:tcW w:type="dxa" w:w="2880"/>
          </w:tcPr>
          <w:p>
            <w:r>
              <w:t>Mei Ling Tan</w:t>
            </w:r>
          </w:p>
        </w:tc>
      </w:tr>
      <w:tr>
        <w:tc>
          <w:tcPr>
            <w:tcW w:type="dxa" w:w="2880"/>
          </w:tcPr>
          <w:p>
            <w:r>
              <w:t>Total variance</w:t>
            </w:r>
          </w:p>
        </w:tc>
        <w:tc>
          <w:tcPr>
            <w:tcW w:type="dxa" w:w="2880"/>
          </w:tcPr>
          <w:p>
            <w:r>
              <w:t>(1,280,000)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1"/>
      </w:pPr>
      <w:r>
        <w:t>3. Recommended Actions</w:t>
      </w:r>
    </w:p>
    <w:p>
      <w:pPr>
        <w:pStyle w:val="ListBullet"/>
      </w:pPr>
      <w:r>
        <w:t>Suresh to negotiate a written ABB Helsinki recovery plan with named SO# and weekly ETA updates — due 23-May.</w:t>
      </w:r>
    </w:p>
    <w:p>
      <w:pPr>
        <w:pStyle w:val="ListBullet"/>
      </w:pPr>
      <w:r>
        <w:t>Mei Ling to refresh the FX hedge cover ratio from 60% to 80% for June-August imports — board paper due 28-May.</w:t>
      </w:r>
    </w:p>
    <w:p>
      <w:pPr>
        <w:pStyle w:val="ListBullet"/>
      </w:pPr>
      <w:r>
        <w:t>Aishah to issue a one-page Maersk surcharge note to top 10 customers explaining the ad-hoc pass-through — due 24-May.</w:t>
      </w:r>
    </w:p>
    <w:p>
      <w:pPr>
        <w:pStyle w:val="ListBullet"/>
      </w:pPr>
      <w:r>
        <w:t>Razif to rebalance LV mix back to plan via the Sales Quote Coach starter prompts — review weekly.</w:t>
      </w:r>
    </w:p>
    <w:p>
      <w:pPr>
        <w:pStyle w:val="ListBullet"/>
      </w:pPr>
      <w:r>
        <w:t>Mei Ling to true-up the Schneider Q2 rebate accrual after 30-June stock count — due 5-July.</w:t>
      </w:r>
    </w:p>
    <w:p>
      <w:pPr>
        <w:pStyle w:val="Heading1"/>
      </w:pPr>
      <w:r>
        <w:t>4. Forward View — June 2026</w:t>
      </w:r>
    </w:p>
    <w:p>
      <w:r>
        <w:t>June revenue is forecast at RM 88M (+10% MoM) driven by the TM Iskandar Puteri datacentre FAT, the YTL Kulai DC2 phase-1 shipment, and the seasonal TNB substation maintenance window. Gross margin is forecast at 18.6% — 50 bps below plan — pending ABB recovery. Working capital is expected to tighten by RM 4.2M as the Petronas Melaka and MMHE receivables age past 60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