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RFQ — Tenaga Nasional Bangsar Substation Upgrade</w:t>
      </w:r>
    </w:p>
    <w:p>
      <w:r>
        <w:t>Received: 20 May 2026, 14:22  ·  Buyer: Encik Razali Hassan, TNB Procurement</w:t>
      </w:r>
    </w:p>
    <w:p>
      <w:pPr>
        <w:pStyle w:val="Heading2"/>
      </w:pPr>
      <w:r>
        <w:t>Lines requested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type="dxa" w:w="2160"/>
          </w:tcPr>
          <w:p>
            <w:r>
              <w:t>ABB MCB S203 C16A 3P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IEC 60898-1, 6kA</w:t>
            </w:r>
          </w:p>
        </w:tc>
        <w:tc>
          <w:tcPr>
            <w:tcW w:type="dxa" w:w="2160"/>
          </w:tcPr>
          <w:p>
            <w:r>
              <w:t>30 May 2026</w:t>
            </w:r>
          </w:p>
        </w:tc>
      </w:tr>
      <w:tr>
        <w:tc>
          <w:tcPr>
            <w:tcW w:type="dxa" w:w="2160"/>
          </w:tcPr>
          <w:p>
            <w:r>
              <w:t>ABB MCB S203 C32A 3P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IEC 60898-1, 6kA</w:t>
            </w:r>
          </w:p>
        </w:tc>
        <w:tc>
          <w:tcPr>
            <w:tcW w:type="dxa" w:w="2160"/>
          </w:tcPr>
          <w:p>
            <w:r>
              <w:t>30 May 2026</w:t>
            </w:r>
          </w:p>
        </w:tc>
      </w:tr>
      <w:tr>
        <w:tc>
          <w:tcPr>
            <w:tcW w:type="dxa" w:w="2160"/>
          </w:tcPr>
          <w:p>
            <w:r>
              <w:t>Schneider iC60N MCB 10A 1P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NF C 61-410</w:t>
            </w:r>
          </w:p>
        </w:tc>
        <w:tc>
          <w:tcPr>
            <w:tcW w:type="dxa" w:w="2160"/>
          </w:tcPr>
          <w:p>
            <w:r>
              <w:t>30 May 2026</w:t>
            </w:r>
          </w:p>
        </w:tc>
      </w:tr>
      <w:tr>
        <w:tc>
          <w:tcPr>
            <w:tcW w:type="dxa" w:w="2160"/>
          </w:tcPr>
          <w:p>
            <w:r>
              <w:t>Legrand RX3 MCB 16A 1P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IEC 60898</w:t>
            </w:r>
          </w:p>
        </w:tc>
        <w:tc>
          <w:tcPr>
            <w:tcW w:type="dxa" w:w="2160"/>
          </w:tcPr>
          <w:p>
            <w:r>
              <w:t>30 May 2026</w:t>
            </w:r>
          </w:p>
        </w:tc>
      </w:tr>
      <w:tr>
        <w:tc>
          <w:tcPr>
            <w:tcW w:type="dxa" w:w="2160"/>
          </w:tcPr>
          <w:p>
            <w:r>
              <w:t>ABB OT160 Switch Disconnector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IEC 60947-3</w:t>
            </w:r>
          </w:p>
        </w:tc>
        <w:tc>
          <w:tcPr>
            <w:tcW w:type="dxa" w:w="2160"/>
          </w:tcPr>
          <w:p>
            <w:r>
              <w:t>6 June 2026</w:t>
            </w:r>
          </w:p>
        </w:tc>
      </w:tr>
    </w:tbl>
    <w:p>
      <w:pPr>
        <w:pStyle w:val="Heading2"/>
      </w:pPr>
      <w:r>
        <w:t>Commercial requirements</w:t>
      </w:r>
    </w:p>
    <w:p>
      <w:pPr>
        <w:pStyle w:val="ListBullet"/>
      </w:pPr>
      <w:r>
        <w:t>Payment terms: Net 60, TNB framework agreement 2025-FR-487</w:t>
      </w:r>
    </w:p>
    <w:p>
      <w:pPr>
        <w:pStyle w:val="ListBullet"/>
      </w:pPr>
      <w:r>
        <w:t>Delivery: TNB Bangsar substation, RM site survey on Friday</w:t>
      </w:r>
    </w:p>
    <w:p>
      <w:pPr>
        <w:pStyle w:val="ListBullet"/>
      </w:pPr>
      <w:r>
        <w:t>Documentation: Test certs, COC, MSDS, brand authenticity letter</w:t>
      </w:r>
    </w:p>
    <w:p>
      <w:pPr>
        <w:pStyle w:val="ListBullet"/>
      </w:pPr>
      <w:r>
        <w:t>MR.DIY Group Bumiputera content target: minimum 30% local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