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EB8"/>
        </w:rPr>
        <w:t>Sonepar Malaysia — May 2026 Month-End Variance Memo</w:t>
      </w:r>
    </w:p>
    <w:p>
      <w:r>
        <w:rPr>
          <w:b/>
        </w:rPr>
        <w:t xml:space="preserve">Prepared by: </w:t>
      </w:r>
      <w:r>
        <w:t xml:space="preserve">Finance Operations  ·  </w:t>
      </w:r>
      <w:r>
        <w:rPr>
          <w:b/>
        </w:rPr>
        <w:t xml:space="preserve">Date: </w:t>
      </w:r>
      <w:r>
        <w:t xml:space="preserve">21 May 2026  ·  </w:t>
      </w:r>
      <w:r>
        <w:rPr>
          <w:b/>
        </w:rPr>
        <w:t xml:space="preserve">Audience: </w:t>
      </w:r>
      <w:r>
        <w:t>Aishah (Head of Ops), MD, CFO</w:t>
      </w:r>
    </w:p>
    <w:p>
      <w:pPr>
        <w:pStyle w:val="Heading2"/>
      </w:pPr>
      <w:r>
        <w:t>Executive Summary</w:t>
      </w:r>
    </w:p>
    <w:p>
      <w:r>
        <w:t>May 2026 closed at RM 44.86M revenue vs. RM 43.30M budget — net unfavourable RM 1.56M (-3.6%). The three main drivers are: (1) inventory cost inflation from FX and a 4.2% ABB price increase, (2) last-mile logistics costs up 20% on fuel and driver shortage, and (3) a single bad-debt provision for Tan Brothers (RM 190k). Commercial sales materially outperformed (+10.4%), softened by Industrial slippage of three large projects into June.</w:t>
      </w:r>
    </w:p>
    <w:p>
      <w:pPr>
        <w:pStyle w:val="Heading2"/>
      </w:pPr>
      <w:r>
        <w:t>Key Variances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Variance 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Variance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Driver</w:t>
            </w:r>
          </w:p>
        </w:tc>
      </w:tr>
      <w:tr>
        <w:tc>
          <w:tcPr>
            <w:tcW w:type="dxa" w:w="2160"/>
          </w:tcPr>
          <w:p>
            <w:r>
              <w:t>Sales — Industrial</w:t>
            </w:r>
          </w:p>
        </w:tc>
        <w:tc>
          <w:tcPr>
            <w:tcW w:type="dxa" w:w="2160"/>
          </w:tcPr>
          <w:p>
            <w:r>
              <w:t>-680,000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3 large projects slipped to June</w:t>
            </w:r>
          </w:p>
        </w:tc>
      </w:tr>
      <w:tr>
        <w:tc>
          <w:tcPr>
            <w:tcW w:type="dxa" w:w="2160"/>
          </w:tcPr>
          <w:p>
            <w:r>
              <w:t>Sales — Commercial</w:t>
            </w:r>
          </w:p>
        </w:tc>
        <w:tc>
          <w:tcPr>
            <w:tcW w:type="dxa" w:w="2160"/>
          </w:tcPr>
          <w:p>
            <w:r>
              <w:t>+645,000</w:t>
            </w:r>
          </w:p>
        </w:tc>
        <w:tc>
          <w:tcPr>
            <w:tcW w:type="dxa" w:w="2160"/>
          </w:tcPr>
          <w:p>
            <w:r>
              <w:t>+10.4%</w:t>
            </w:r>
          </w:p>
        </w:tc>
        <w:tc>
          <w:tcPr>
            <w:tcW w:type="dxa" w:w="2160"/>
          </w:tcPr>
          <w:p>
            <w:r>
              <w:t>Datacenter &amp; semicon strong</w:t>
            </w:r>
          </w:p>
        </w:tc>
      </w:tr>
      <w:tr>
        <w:tc>
          <w:tcPr>
            <w:tcW w:type="dxa" w:w="2160"/>
          </w:tcPr>
          <w:p>
            <w:r>
              <w:t>Inventory Purchases</w:t>
            </w:r>
          </w:p>
        </w:tc>
        <w:tc>
          <w:tcPr>
            <w:tcW w:type="dxa" w:w="2160"/>
          </w:tcPr>
          <w:p>
            <w:r>
              <w:t>-1,180,000</w:t>
            </w:r>
          </w:p>
        </w:tc>
        <w:tc>
          <w:tcPr>
            <w:tcW w:type="dxa" w:w="2160"/>
          </w:tcPr>
          <w:p>
            <w:r>
              <w:t>-8.3%</w:t>
            </w:r>
          </w:p>
        </w:tc>
        <w:tc>
          <w:tcPr>
            <w:tcW w:type="dxa" w:w="2160"/>
          </w:tcPr>
          <w:p>
            <w:r>
              <w:t>FX (USD/EUR) + ABB +4.2%</w:t>
            </w:r>
          </w:p>
        </w:tc>
      </w:tr>
      <w:tr>
        <w:tc>
          <w:tcPr>
            <w:tcW w:type="dxa" w:w="2160"/>
          </w:tcPr>
          <w:p>
            <w:r>
              <w:t>Freight Inbound</w:t>
            </w:r>
          </w:p>
        </w:tc>
        <w:tc>
          <w:tcPr>
            <w:tcW w:type="dxa" w:w="2160"/>
          </w:tcPr>
          <w:p>
            <w:r>
              <w:t>-90,000</w:t>
            </w:r>
          </w:p>
        </w:tc>
        <w:tc>
          <w:tcPr>
            <w:tcW w:type="dxa" w:w="2160"/>
          </w:tcPr>
          <w:p>
            <w:r>
              <w:t>-21.4%</w:t>
            </w:r>
          </w:p>
        </w:tc>
        <w:tc>
          <w:tcPr>
            <w:tcW w:type="dxa" w:w="2160"/>
          </w:tcPr>
          <w:p>
            <w:r>
              <w:t>Red Sea reroute surcharges</w:t>
            </w:r>
          </w:p>
        </w:tc>
      </w:tr>
      <w:tr>
        <w:tc>
          <w:tcPr>
            <w:tcW w:type="dxa" w:w="2160"/>
          </w:tcPr>
          <w:p>
            <w:r>
              <w:t>Logistics — Last Mile</w:t>
            </w:r>
          </w:p>
        </w:tc>
        <w:tc>
          <w:tcPr>
            <w:tcW w:type="dxa" w:w="2160"/>
          </w:tcPr>
          <w:p>
            <w:r>
              <w:t>-190,000</w:t>
            </w:r>
          </w:p>
        </w:tc>
        <w:tc>
          <w:tcPr>
            <w:tcW w:type="dxa" w:w="2160"/>
          </w:tcPr>
          <w:p>
            <w:r>
              <w:t>-20.0%</w:t>
            </w:r>
          </w:p>
        </w:tc>
        <w:tc>
          <w:tcPr>
            <w:tcW w:type="dxa" w:w="2160"/>
          </w:tcPr>
          <w:p>
            <w:r>
              <w:t>Fuel &amp; driver shortage</w:t>
            </w:r>
          </w:p>
        </w:tc>
      </w:tr>
      <w:tr>
        <w:tc>
          <w:tcPr>
            <w:tcW w:type="dxa" w:w="2160"/>
          </w:tcPr>
          <w:p>
            <w:r>
              <w:t>Bad Debt — Tan Brothers</w:t>
            </w:r>
          </w:p>
        </w:tc>
        <w:tc>
          <w:tcPr>
            <w:tcW w:type="dxa" w:w="2160"/>
          </w:tcPr>
          <w:p>
            <w:r>
              <w:t>-190,000</w:t>
            </w:r>
          </w:p>
        </w:tc>
        <w:tc>
          <w:tcPr>
            <w:tcW w:type="dxa" w:w="2160"/>
          </w:tcPr>
          <w:p>
            <w:r>
              <w:t>-158%</w:t>
            </w:r>
          </w:p>
        </w:tc>
        <w:tc>
          <w:tcPr>
            <w:tcW w:type="dxa" w:w="2160"/>
          </w:tcPr>
          <w:p>
            <w:r>
              <w:t>Single customer default</w:t>
            </w:r>
          </w:p>
        </w:tc>
      </w:tr>
    </w:tbl>
    <w:p>
      <w:pPr>
        <w:pStyle w:val="Heading2"/>
      </w:pPr>
      <w:r>
        <w:t>Recommended Actions</w:t>
      </w:r>
    </w:p>
    <w:p>
      <w:pPr>
        <w:pStyle w:val="ListBullet"/>
      </w:pPr>
      <w:r>
        <w:t>Lock FX cover for July–Sep ABB purchases (~EUR 2.4M exposure) — Treasury this week.</w:t>
      </w:r>
    </w:p>
    <w:p>
      <w:pPr>
        <w:pStyle w:val="ListBullet"/>
      </w:pPr>
      <w:r>
        <w:t>Re-negotiate last-mile carrier contract; pilot Lalamove for KL-Selangor metro lane.</w:t>
      </w:r>
    </w:p>
    <w:p>
      <w:pPr>
        <w:pStyle w:val="ListBullet"/>
      </w:pPr>
      <w:r>
        <w:t>Tighten credit terms tier 4; weekly AR review for accounts &gt; 60 DPD.</w:t>
      </w:r>
    </w:p>
    <w:p>
      <w:pPr>
        <w:pStyle w:val="ListBullet"/>
      </w:pPr>
      <w:r>
        <w:t>Pull-forward June industrial pipeline: focus on Lotte Chemical Titan and Petronas RAPID.</w:t>
      </w:r>
    </w:p>
    <w:p>
      <w:pPr>
        <w:pStyle w:val="ListBullet"/>
      </w:pPr>
      <w:r>
        <w:t>Pass 1.5% surcharge to commercial customers on USD-priced lines from June 1.</w:t>
      </w:r>
    </w:p>
    <w:p>
      <w:pPr>
        <w:pStyle w:val="Heading2"/>
      </w:pPr>
      <w:r>
        <w:t>Appendix — Backorder Risk</w:t>
      </w:r>
    </w:p>
    <w:p>
      <w:r>
        <w:t>Three orders at backorder/risk in the same SKU family (ABB ACS580 VFDs): SO-44218 Petronas, SO-44226 UMW Toyota, SO-44219 Top Glove. Combined RM 106k exposure. PO-2026-1042 to ABB Helsinki is in-transit, ETA 30 May. Mitigation: cross-ship 4 units from Singapore IBC stock via FedEx Priority — incremental freight RM 3,200, prevents penalty clauses on Petronas of RM 28k.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