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D55"/>
          <w:sz w:val="40"/>
        </w:rPr>
        <w:t>ZAVA GROUP</w:t>
      </w:r>
    </w:p>
    <w:p>
      <w:pPr>
        <w:jc w:val="center"/>
      </w:pPr>
      <w:r>
        <w:rPr>
          <w:b/>
          <w:color w:val="1F2D55"/>
          <w:sz w:val="40"/>
        </w:rPr>
        <w:t>GROUP POLICY HANDBOOK</w:t>
      </w:r>
    </w:p>
    <w:p>
      <w:pPr>
        <w:jc w:val="center"/>
      </w:pPr>
      <w:r>
        <w:rPr>
          <w:b w:val="0"/>
          <w:i/>
          <w:sz w:val="20"/>
        </w:rPr>
        <w:t>Effective Date: 1 January 2026  |  Version: 5.0</w:t>
      </w:r>
    </w:p>
    <w:p>
      <w:pPr>
        <w:jc w:val="center"/>
      </w:pPr>
      <w:r>
        <w:rPr>
          <w:b w:val="0"/>
          <w:i/>
          <w:sz w:val="20"/>
        </w:rPr>
        <w:t>Dual Headquarters: Kuala Lumpur, Malaysia &amp; Jakarta, Indonesia</w:t>
      </w:r>
    </w:p>
    <w:p>
      <w:pPr>
        <w:jc w:val="center"/>
      </w:pPr>
      <w:r>
        <w:rPr>
          <w:b w:val="0"/>
          <w:i/>
          <w:sz w:val="20"/>
        </w:rPr>
        <w:t>Approved by: Board of Directors — 18 December 2025</w:t>
      </w:r>
    </w:p>
    <w:p>
      <w:pPr>
        <w:jc w:val="center"/>
      </w:pPr>
      <w:r>
        <w:rPr>
          <w:b/>
          <w:i w:val="0"/>
          <w:color w:val="C0392B"/>
          <w:sz w:val="20"/>
        </w:rPr>
        <w:t>CONFIDENTIAL — FOR INTERNAL USE ONLY</w:t>
      </w:r>
    </w:p>
    <w:p/>
    <w:p>
      <w:r>
        <w:rPr>
          <w:b/>
          <w:color w:val="1F2D55"/>
          <w:sz w:val="32"/>
        </w:rPr>
        <w:t>Foreword from the Group CEO</w:t>
      </w:r>
    </w:p>
    <w:p>
      <w:r>
        <w:rPr>
          <w:b w:val="0"/>
          <w:i w:val="0"/>
          <w:sz w:val="22"/>
        </w:rPr>
        <w:t>Zava Group is a diversified conglomerate operating across Malaysia, Indonesia and Singapore with eleven business divisions and approximately 87,400 employees. Our policies define how we behave, how we make decisions, and how we hold ourselves and each other accountable. This Handbook supersedes Version 4.2 (January 2025) and reflects updates approved at the December 2025 Board meeting, including: revised AI &amp; Generative AI Usage Policy, expanded ESG disclosures aligned with TCFD/IFRS S2, and tightened delegation of authority following the FY2025 financial covenant pressure.</w:t>
      </w:r>
    </w:p>
    <w:p>
      <w:r>
        <w:rPr>
          <w:b/>
          <w:color w:val="1F2D55"/>
          <w:sz w:val="32"/>
        </w:rPr>
        <w:t>1. Corporate Governance Framework</w:t>
      </w:r>
    </w:p>
    <w:p>
      <w:r>
        <w:rPr>
          <w:b w:val="0"/>
          <w:i w:val="0"/>
          <w:sz w:val="22"/>
        </w:rPr>
        <w:t>Zava Group's governance is anchored by a 12-member Board (5 Independent, 4 Non-Executive, 3 Executive). Five standing committees operate under the Board: Audit &amp; Risk, Nominations, Remuneration, Sustainability, and Strategic Investments. The Board meets at minimum 6 times per year; Audit &amp; Risk meets quarterly; emergency Board Risk Committee can be convened on 24 hours' notice (invoked twice in FY2025). Group Chief Internal Auditor reports administratively to the Group CEO and functionally to the Audit &amp; Risk Committee Chair.</w:t>
      </w:r>
    </w:p>
    <w:p>
      <w:pPr>
        <w:pStyle w:val="ListBullet"/>
      </w:pPr>
      <w:r>
        <w:rPr>
          <w:sz w:val="22"/>
        </w:rPr>
        <w:t>Board diversity target: 40% women by 2028 (currently 33%)</w:t>
      </w:r>
    </w:p>
    <w:p>
      <w:pPr>
        <w:pStyle w:val="ListBullet"/>
      </w:pPr>
      <w:r>
        <w:rPr>
          <w:sz w:val="22"/>
        </w:rPr>
        <w:t>Executive sessions held without management at every Audit &amp; Risk Committee</w:t>
      </w:r>
    </w:p>
    <w:p>
      <w:pPr>
        <w:pStyle w:val="ListBullet"/>
      </w:pPr>
      <w:r>
        <w:rPr>
          <w:sz w:val="22"/>
        </w:rPr>
        <w:t>Annual Board effectiveness review conducted by independent third party</w:t>
      </w:r>
    </w:p>
    <w:p>
      <w:pPr>
        <w:pStyle w:val="ListBullet"/>
      </w:pPr>
      <w:r>
        <w:rPr>
          <w:sz w:val="22"/>
        </w:rPr>
        <w:t>Director onboarding programme covers all 11 divisions over 12 months</w:t>
      </w:r>
    </w:p>
    <w:p/>
    <w:p>
      <w:r>
        <w:rPr>
          <w:b/>
          <w:color w:val="1F2D55"/>
          <w:sz w:val="32"/>
        </w:rPr>
        <w:t>2. Code of Ethics &amp; Business Conduct</w:t>
      </w:r>
    </w:p>
    <w:p>
      <w:r>
        <w:rPr>
          <w:b w:val="0"/>
          <w:i w:val="0"/>
          <w:sz w:val="22"/>
        </w:rPr>
        <w:t>All Zava Group personnel — employees, contractors, and Board members — are required to comply with the Code of Ethics. Annual certification is mandatory for grades C5 and above. The Code covers anti-bribery, conflicts of interest, gifts and hospitality, fair dealing, confidentiality, and use of company assets including AI tools.</w:t>
      </w:r>
    </w:p>
    <w:p>
      <w:pPr>
        <w:pStyle w:val="ListBullet"/>
      </w:pPr>
      <w:r>
        <w:rPr>
          <w:sz w:val="22"/>
        </w:rPr>
        <w:t>Whistleblower hotline: independently operated, available 24/7 in BM, EN, ID, ZH, TA</w:t>
      </w:r>
    </w:p>
    <w:p>
      <w:pPr>
        <w:pStyle w:val="ListBullet"/>
      </w:pPr>
      <w:r>
        <w:rPr>
          <w:sz w:val="22"/>
        </w:rPr>
        <w:t>Gifts &amp; hospitality cap: MYR 500 per occasion, MYR 2,000 per recipient per year</w:t>
      </w:r>
    </w:p>
    <w:p>
      <w:pPr>
        <w:pStyle w:val="ListBullet"/>
      </w:pPr>
      <w:r>
        <w:rPr>
          <w:sz w:val="22"/>
        </w:rPr>
        <w:t>Government-related person interactions logged in Group Compliance register</w:t>
      </w:r>
    </w:p>
    <w:p>
      <w:pPr>
        <w:pStyle w:val="ListBullet"/>
      </w:pPr>
      <w:r>
        <w:rPr>
          <w:sz w:val="22"/>
        </w:rPr>
        <w:t>Zero tolerance for bribery — disciplinary outcomes published quarterly (anonymised)</w:t>
      </w:r>
    </w:p>
    <w:p/>
    <w:p>
      <w:r>
        <w:rPr>
          <w:b/>
          <w:color w:val="1F2D55"/>
          <w:sz w:val="32"/>
        </w:rPr>
        <w:t>3. Human Resources Policy</w:t>
      </w:r>
    </w:p>
    <w:p>
      <w:r>
        <w:rPr>
          <w:b w:val="0"/>
          <w:i w:val="0"/>
          <w:sz w:val="22"/>
        </w:rPr>
        <w:t>Zava HR's policy covers the full employee lifecycle: hiring, onboarding, performance, compensation, learning, leave, exit. We benchmark compensation annually against Mercer and Korn Ferry data for Malaysia, Indonesia, Singapore, and India (BPO operations).</w:t>
      </w:r>
    </w:p>
    <w:p>
      <w:pPr>
        <w:pStyle w:val="ListBullet"/>
      </w:pPr>
      <w:r>
        <w:rPr>
          <w:sz w:val="22"/>
        </w:rPr>
        <w:t>Performance review: annual cycle Jan-Mar with mid-year check-ins; calibrated by grade level</w:t>
      </w:r>
    </w:p>
    <w:p>
      <w:pPr>
        <w:pStyle w:val="ListBullet"/>
      </w:pPr>
      <w:r>
        <w:rPr>
          <w:sz w:val="22"/>
        </w:rPr>
        <w:t>Learning &amp; Development: minimum 40 hours/year for all permanent staff</w:t>
      </w:r>
    </w:p>
    <w:p>
      <w:pPr>
        <w:pStyle w:val="ListBullet"/>
      </w:pPr>
      <w:r>
        <w:rPr>
          <w:sz w:val="22"/>
        </w:rPr>
        <w:t>Parental leave: 16 weeks maternity (full pay), 4 weeks paternity (full pay)</w:t>
      </w:r>
    </w:p>
    <w:p>
      <w:pPr>
        <w:pStyle w:val="ListBullet"/>
      </w:pPr>
      <w:r>
        <w:rPr>
          <w:sz w:val="22"/>
        </w:rPr>
        <w:t>DEI targets: 40% women in C6+ by 2028; current 32%</w:t>
      </w:r>
    </w:p>
    <w:p>
      <w:pPr>
        <w:pStyle w:val="ListBullet"/>
      </w:pPr>
      <w:r>
        <w:rPr>
          <w:sz w:val="22"/>
        </w:rPr>
        <w:t>Remote work eligibility: up to 3 days/week for non-customer-facing roles</w:t>
      </w:r>
    </w:p>
    <w:p/>
    <w:p>
      <w:r>
        <w:rPr>
          <w:b/>
          <w:color w:val="1F2D55"/>
          <w:sz w:val="32"/>
        </w:rPr>
        <w:t>4. Financial Governance &amp; Treasury Policy</w:t>
      </w:r>
    </w:p>
    <w:p>
      <w:r>
        <w:rPr>
          <w:b w:val="0"/>
          <w:i w:val="0"/>
          <w:sz w:val="22"/>
        </w:rPr>
        <w:t>Group Treasury is centralised in Kuala Lumpur with regional sub-treasuries in Jakarta (IDR + USD) and Singapore (commodity hedging desk). All hedging transactions over MYR 50M require Group CFO approval; all over MYR 200M require Audit &amp; Risk Committee endorsement. FX exposure target: 70-90% hedge ratio for net committed transactional exposure.</w:t>
      </w:r>
    </w:p>
    <w:p>
      <w:pPr>
        <w:pStyle w:val="ListBullet"/>
      </w:pPr>
      <w:r>
        <w:rPr>
          <w:sz w:val="22"/>
        </w:rPr>
        <w:t>Delegation of Authority Matrix updated December 2025; opex thresholds reduced 25%</w:t>
      </w:r>
    </w:p>
    <w:p>
      <w:pPr>
        <w:pStyle w:val="ListBullet"/>
      </w:pPr>
      <w:r>
        <w:rPr>
          <w:sz w:val="22"/>
        </w:rPr>
        <w:t>Banking pool: 6 relationship banks (CIMB, Maybank, OCBC, DBS, HSBC, Standard Chartered)</w:t>
      </w:r>
    </w:p>
    <w:p>
      <w:pPr>
        <w:pStyle w:val="ListBullet"/>
      </w:pPr>
      <w:r>
        <w:rPr>
          <w:sz w:val="22"/>
        </w:rPr>
        <w:t>Cash pooling agreement covers MY + ID + SG (Notional pool with overlay structures)</w:t>
      </w:r>
    </w:p>
    <w:p>
      <w:pPr>
        <w:pStyle w:val="ListBullet"/>
      </w:pPr>
      <w:r>
        <w:rPr>
          <w:sz w:val="22"/>
        </w:rPr>
        <w:t>Investment policy: only investment grade (AAA-A) counterparties for treasury investments</w:t>
      </w:r>
    </w:p>
    <w:p/>
    <w:p>
      <w:r>
        <w:rPr>
          <w:b/>
          <w:color w:val="1F2D55"/>
          <w:sz w:val="32"/>
        </w:rPr>
        <w:t>5. Procurement &amp; Supply Chain Policy</w:t>
      </w:r>
    </w:p>
    <w:p>
      <w:r>
        <w:rPr>
          <w:b w:val="0"/>
          <w:i w:val="0"/>
          <w:sz w:val="22"/>
        </w:rPr>
        <w:t>Group Procurement operates a 3-tier governance: strategic sourcing (Tier 1: contract value MYR 25M+), tactical buying (Tier 2: MYR 1-25M), and operational purchasing (Tier 3: &lt;MYR 1M). All Tier 1 contracts are signed at Group level; Tier 2/3 are delegated to Division CFOs.</w:t>
      </w:r>
    </w:p>
    <w:p>
      <w:pPr>
        <w:pStyle w:val="ListBullet"/>
      </w:pPr>
      <w:r>
        <w:rPr>
          <w:sz w:val="22"/>
        </w:rPr>
        <w:t>Sustainable Procurement Code: ESG screening mandatory for contracts &gt;MYR 5M</w:t>
      </w:r>
    </w:p>
    <w:p>
      <w:pPr>
        <w:pStyle w:val="ListBullet"/>
      </w:pPr>
      <w:r>
        <w:rPr>
          <w:sz w:val="22"/>
        </w:rPr>
        <w:t>Vendor due diligence includes sanctions screening (OFAC, UN, EU)</w:t>
      </w:r>
    </w:p>
    <w:p>
      <w:pPr>
        <w:pStyle w:val="ListBullet"/>
      </w:pPr>
      <w:r>
        <w:rPr>
          <w:sz w:val="22"/>
        </w:rPr>
        <w:t>Single-vendor dependency: no vendor &gt;25% of Group spend in any category</w:t>
      </w:r>
    </w:p>
    <w:p>
      <w:pPr>
        <w:pStyle w:val="ListBullet"/>
      </w:pPr>
      <w:r>
        <w:rPr>
          <w:sz w:val="22"/>
        </w:rPr>
        <w:t>Local content target: 65% Malaysian + Indonesian suppliers by FY2027</w:t>
      </w:r>
    </w:p>
    <w:p/>
    <w:p>
      <w:r>
        <w:rPr>
          <w:b/>
          <w:color w:val="1F2D55"/>
          <w:sz w:val="32"/>
        </w:rPr>
        <w:t>6. Data Privacy &amp; Cybersecurity Policy</w:t>
      </w:r>
    </w:p>
    <w:p>
      <w:r>
        <w:rPr>
          <w:b w:val="0"/>
          <w:i w:val="0"/>
          <w:sz w:val="22"/>
        </w:rPr>
        <w:t>Zava Group is governed by Malaysian PDPA 2010, Indonesian UU PDP 2022, Singapore PDPA, and applicable EU GDPR provisions for export-facing operations. Group ISMS is ISO 27001:2022 certified across MY and ID operations.</w:t>
      </w:r>
    </w:p>
    <w:p>
      <w:pPr>
        <w:pStyle w:val="ListBullet"/>
      </w:pPr>
      <w:r>
        <w:rPr>
          <w:sz w:val="22"/>
        </w:rPr>
        <w:t>Data breach notification: 72 hours to regulator + Group DPO</w:t>
      </w:r>
    </w:p>
    <w:p>
      <w:pPr>
        <w:pStyle w:val="ListBullet"/>
      </w:pPr>
      <w:r>
        <w:rPr>
          <w:sz w:val="22"/>
        </w:rPr>
        <w:t>Right to be forgotten requests: processed within 30 days</w:t>
      </w:r>
    </w:p>
    <w:p>
      <w:pPr>
        <w:pStyle w:val="ListBullet"/>
      </w:pPr>
      <w:r>
        <w:rPr>
          <w:sz w:val="22"/>
        </w:rPr>
        <w:t>AI/Generative AI usage: covered by separate Group AI Policy (Annex 1)</w:t>
      </w:r>
    </w:p>
    <w:p>
      <w:pPr>
        <w:pStyle w:val="ListBullet"/>
      </w:pPr>
      <w:r>
        <w:rPr>
          <w:sz w:val="22"/>
        </w:rPr>
        <w:t>Penetration testing: annual independent + quarterly internal; remediation SLA 30 days for high</w:t>
      </w:r>
    </w:p>
    <w:p/>
    <w:p>
      <w:r>
        <w:rPr>
          <w:b/>
          <w:color w:val="1F2D55"/>
          <w:sz w:val="32"/>
        </w:rPr>
        <w:t>7. ESG &amp; Sustainability Policy</w:t>
      </w:r>
    </w:p>
    <w:p>
      <w:r>
        <w:rPr>
          <w:b w:val="0"/>
          <w:i w:val="0"/>
          <w:sz w:val="22"/>
        </w:rPr>
        <w:t>Zava Group has committed to Net Zero by 2050, with interim 2030 milestones: 30% Scope 1+2 reduction vs 2022 baseline; 100% RSPO-certified palm oil estates; zero deforestation. EUDR compliance is critical for our agribusiness export business.</w:t>
      </w:r>
    </w:p>
    <w:p>
      <w:pPr>
        <w:pStyle w:val="ListBullet"/>
      </w:pPr>
      <w:r>
        <w:rPr>
          <w:sz w:val="22"/>
        </w:rPr>
        <w:t>TCFD-aligned climate disclosures published in Annual Report</w:t>
      </w:r>
    </w:p>
    <w:p>
      <w:pPr>
        <w:pStyle w:val="ListBullet"/>
      </w:pPr>
      <w:r>
        <w:rPr>
          <w:sz w:val="22"/>
        </w:rPr>
        <w:t>ESG-linked debt covenants in 2 of our 8 debt facilities</w:t>
      </w:r>
    </w:p>
    <w:p>
      <w:pPr>
        <w:pStyle w:val="ListBullet"/>
      </w:pPr>
      <w:r>
        <w:rPr>
          <w:sz w:val="22"/>
        </w:rPr>
        <w:t>Community investment target: 1% of group PAT (MYR 28M FY2024 actual)</w:t>
      </w:r>
    </w:p>
    <w:p>
      <w:pPr>
        <w:pStyle w:val="ListBullet"/>
      </w:pPr>
      <w:r>
        <w:rPr>
          <w:sz w:val="22"/>
        </w:rPr>
        <w:t>Plantation peatland: phased exit by 2027 (currently 8,200ha at-risk at Lestari estate)</w:t>
      </w:r>
    </w:p>
    <w:p/>
    <w:p>
      <w:r>
        <w:rPr>
          <w:b/>
          <w:color w:val="1F2D55"/>
          <w:sz w:val="32"/>
        </w:rPr>
        <w:t>8. Health, Safety &amp; Environment Policy</w:t>
      </w:r>
    </w:p>
    <w:p>
      <w:r>
        <w:rPr>
          <w:b w:val="0"/>
          <w:i w:val="0"/>
          <w:sz w:val="22"/>
        </w:rPr>
        <w:t>Group EHS standards exceed local regulatory minimums. All Zava Chemicals plants operate Process Safety Management (PSM) per CCPS guidelines. ISO 45001 certification across MY plants and ID downstream sites.</w:t>
      </w:r>
    </w:p>
    <w:p>
      <w:pPr>
        <w:pStyle w:val="ListBullet"/>
      </w:pPr>
      <w:r>
        <w:rPr>
          <w:sz w:val="22"/>
        </w:rPr>
        <w:t>Lost Time Injury Frequency Rate (LTIFR) target: &lt;0.5 per million hours worked</w:t>
      </w:r>
    </w:p>
    <w:p>
      <w:pPr>
        <w:pStyle w:val="ListBullet"/>
      </w:pPr>
      <w:r>
        <w:rPr>
          <w:sz w:val="22"/>
        </w:rPr>
        <w:t>Fatality target: zero, every year, every division</w:t>
      </w:r>
    </w:p>
    <w:p>
      <w:pPr>
        <w:pStyle w:val="ListBullet"/>
      </w:pPr>
      <w:r>
        <w:rPr>
          <w:sz w:val="22"/>
        </w:rPr>
        <w:t>Major hazard installations: HIRARC reviews every 18 months</w:t>
      </w:r>
    </w:p>
    <w:p>
      <w:pPr>
        <w:pStyle w:val="ListBullet"/>
      </w:pPr>
      <w:r>
        <w:rPr>
          <w:sz w:val="22"/>
        </w:rPr>
        <w:t>Cilegon plant currently under enhanced regulatory oversight (3 enforcement notices Q1 2025)</w:t>
      </w:r>
    </w:p>
    <w:p/>
    <w:p>
      <w:r>
        <w:rPr>
          <w:b/>
          <w:color w:val="1F2D55"/>
          <w:sz w:val="32"/>
        </w:rPr>
        <w:t>9. Legal &amp; Compliance Framework</w:t>
      </w:r>
    </w:p>
    <w:p>
      <w:r>
        <w:rPr>
          <w:b w:val="0"/>
          <w:i w:val="0"/>
          <w:sz w:val="22"/>
        </w:rPr>
        <w:t>Group Legal is structured into 4 streams: Corporate (Board secretarial, M&amp;A, securities), Commercial (contracts, IP, disputes), Regulatory (financial services, pharma, energy), and Litigation. All regulatory correspondence over a defined materiality threshold is logged in the Group Compliance Register and reported to Audit &amp; Risk Committee quarterly.</w:t>
      </w:r>
    </w:p>
    <w:p>
      <w:pPr>
        <w:pStyle w:val="ListBullet"/>
      </w:pPr>
      <w:r>
        <w:rPr>
          <w:sz w:val="22"/>
        </w:rPr>
        <w:t>Material litigation register: all matters &gt;MYR 5M reported to Board</w:t>
      </w:r>
    </w:p>
    <w:p>
      <w:pPr>
        <w:pStyle w:val="ListBullet"/>
      </w:pPr>
      <w:r>
        <w:rPr>
          <w:sz w:val="22"/>
        </w:rPr>
        <w:t>Sanctions compliance: monthly screening of counterparties (OFAC, UN, EU, MAS)</w:t>
      </w:r>
    </w:p>
    <w:p>
      <w:pPr>
        <w:pStyle w:val="ListBullet"/>
      </w:pPr>
      <w:r>
        <w:rPr>
          <w:sz w:val="22"/>
        </w:rPr>
        <w:t>Competition law training: mandatory annual for all C5+ staff</w:t>
      </w:r>
    </w:p>
    <w:p>
      <w:pPr>
        <w:pStyle w:val="ListBullet"/>
      </w:pPr>
      <w:r>
        <w:rPr>
          <w:sz w:val="22"/>
        </w:rPr>
        <w:t>External counsel panel: 6 firms (Wong &amp; Partners, Skrine, Christopher &amp; Lee Ong, etc.)</w:t>
      </w:r>
    </w:p>
    <w:p/>
    <w:p>
      <w:r>
        <w:rPr>
          <w:b/>
          <w:color w:val="1F2D55"/>
          <w:sz w:val="32"/>
        </w:rPr>
        <w:t>10. Risk Management Framework</w:t>
      </w:r>
    </w:p>
    <w:p>
      <w:r>
        <w:rPr>
          <w:b w:val="0"/>
          <w:i w:val="0"/>
          <w:sz w:val="22"/>
        </w:rPr>
        <w:t>Zava Group operates a 3-Lines-of-Defence model. The Risk Appetite Statement, refreshed annually by the Board, defines tolerance for 7 risk categories: Strategic, Financial, Operational, Compliance, Cyber, ESG, and Reputational. Group Risk reports quarterly to the Audit &amp; Risk Committee and monthly to the Group Executive Committee.</w:t>
      </w:r>
    </w:p>
    <w:p>
      <w:pPr>
        <w:pStyle w:val="ListBullet"/>
      </w:pPr>
      <w:r>
        <w:rPr>
          <w:sz w:val="22"/>
        </w:rPr>
        <w:t>Top Group risks (2026): EBITDA shortfall, lender covenant breach, EUDR, cyber, talent</w:t>
      </w:r>
    </w:p>
    <w:p>
      <w:pPr>
        <w:pStyle w:val="ListBullet"/>
      </w:pPr>
      <w:r>
        <w:rPr>
          <w:sz w:val="22"/>
        </w:rPr>
        <w:t>Stress testing: annual reverse stress test conducted by Group Risk + external advisor</w:t>
      </w:r>
    </w:p>
    <w:p>
      <w:pPr>
        <w:pStyle w:val="ListBullet"/>
      </w:pPr>
      <w:r>
        <w:rPr>
          <w:sz w:val="22"/>
        </w:rPr>
        <w:t>Crisis management: Group Crisis Committee invoked twice in FY2025 (Cilegon, Lestari)</w:t>
      </w:r>
    </w:p>
    <w:p>
      <w:pPr>
        <w:pStyle w:val="ListBullet"/>
      </w:pPr>
      <w:r>
        <w:rPr>
          <w:sz w:val="22"/>
        </w:rPr>
        <w:t>Insurance: Group MDPL programme renewed annually; D&amp;O cover MYR 800M</w:t>
      </w:r>
    </w:p>
    <w:p/>
    <w:p>
      <w:r>
        <w:rPr>
          <w:b/>
          <w:color w:val="1F2D55"/>
          <w:sz w:val="32"/>
        </w:rPr>
        <w:t>Annex 1. Group AI &amp; Generative AI Usage Policy (NEW — December 2025)</w:t>
      </w:r>
    </w:p>
    <w:p>
      <w:r>
        <w:rPr>
          <w:b w:val="0"/>
          <w:i w:val="0"/>
          <w:sz w:val="22"/>
        </w:rPr>
        <w:t>Approved as a standalone Annex following Microsoft 365 Copilot rollout to ~12,000 grade C4+ staff across the Group. All employees must complete the AI Literacy module before activation.</w:t>
      </w:r>
    </w:p>
    <w:p>
      <w:pPr>
        <w:pStyle w:val="ListBullet"/>
      </w:pPr>
      <w:r>
        <w:rPr>
          <w:sz w:val="22"/>
        </w:rPr>
        <w:t>Copilot use: permitted for productivity (Word/Excel/PowerPoint/Outlook/Teams) on Group tenant</w:t>
      </w:r>
    </w:p>
    <w:p>
      <w:pPr>
        <w:pStyle w:val="ListBullet"/>
      </w:pPr>
      <w:r>
        <w:rPr>
          <w:sz w:val="22"/>
        </w:rPr>
        <w:t>Copilot Studio agents: only deployed by IT &amp; Digital after security review</w:t>
      </w:r>
    </w:p>
    <w:p>
      <w:pPr>
        <w:pStyle w:val="ListBullet"/>
      </w:pPr>
      <w:r>
        <w:rPr>
          <w:sz w:val="22"/>
        </w:rPr>
        <w:t>Confidential data: must NOT be entered into public/free AI tools (ChatGPT, Gemini, etc.)</w:t>
      </w:r>
    </w:p>
    <w:p>
      <w:pPr>
        <w:pStyle w:val="ListBullet"/>
      </w:pPr>
      <w:r>
        <w:rPr>
          <w:sz w:val="22"/>
        </w:rPr>
        <w:t>Zava Group enterprise data boundary: enforced via Microsoft Purview + Sensitivity Labels</w:t>
      </w:r>
    </w:p>
    <w:p>
      <w:pPr>
        <w:pStyle w:val="ListBullet"/>
      </w:pPr>
      <w:r>
        <w:rPr>
          <w:sz w:val="22"/>
        </w:rPr>
        <w:t>AI-generated content: must be reviewed by a human before external publication</w:t>
      </w:r>
    </w:p>
    <w:p>
      <w:pPr>
        <w:pStyle w:val="ListBullet"/>
      </w:pPr>
      <w:r>
        <w:rPr>
          <w:sz w:val="22"/>
        </w:rPr>
        <w:t>Auditing: Copilot interactions retained per Group records retention schedule (7 years)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