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D55"/>
          <w:sz w:val="40"/>
        </w:rPr>
        <w:t>ZAVA GROUP</w:t>
      </w:r>
    </w:p>
    <w:p>
      <w:pPr>
        <w:jc w:val="center"/>
      </w:pPr>
      <w:r>
        <w:rPr>
          <w:b/>
          <w:color w:val="1F2D55"/>
          <w:sz w:val="40"/>
        </w:rPr>
        <w:t>ZAVA FORWARD 2030</w:t>
      </w:r>
    </w:p>
    <w:p>
      <w:pPr>
        <w:jc w:val="center"/>
      </w:pPr>
      <w:r>
        <w:rPr>
          <w:b/>
          <w:color w:val="1F2D55"/>
          <w:sz w:val="40"/>
        </w:rPr>
        <w:t>GROUP STRATEGIC FRAMEWORK FY2026-2030</w:t>
      </w:r>
    </w:p>
    <w:p>
      <w:pPr>
        <w:jc w:val="center"/>
      </w:pPr>
      <w:r>
        <w:rPr>
          <w:b w:val="0"/>
          <w:i/>
          <w:sz w:val="20"/>
        </w:rPr>
        <w:t>Approved by Board of Directors: 18 December 2025</w:t>
      </w:r>
    </w:p>
    <w:p>
      <w:pPr>
        <w:jc w:val="center"/>
      </w:pPr>
      <w:r>
        <w:rPr>
          <w:b w:val="0"/>
          <w:i/>
          <w:sz w:val="20"/>
        </w:rPr>
        <w:t>Prepared by: Group Strategy Office</w:t>
      </w:r>
    </w:p>
    <w:p>
      <w:pPr>
        <w:jc w:val="center"/>
      </w:pPr>
      <w:r>
        <w:rPr>
          <w:b w:val="0"/>
          <w:i/>
          <w:sz w:val="20"/>
        </w:rPr>
        <w:t>Dual HQ: Kuala Lumpur, Malaysia &amp; Jakarta, Indonesia</w:t>
      </w:r>
    </w:p>
    <w:p/>
    <w:p>
      <w:r>
        <w:rPr>
          <w:b/>
          <w:color w:val="1F2D55"/>
          <w:sz w:val="32"/>
        </w:rPr>
        <w:t>Section 1: Strategic Vision &amp; Pillars</w:t>
      </w:r>
    </w:p>
    <w:p>
      <w:r>
        <w:rPr>
          <w:b w:val="0"/>
          <w:i w:val="0"/>
          <w:sz w:val="22"/>
        </w:rPr>
        <w:t>Vision: 'Asia's most trusted diversified conglomerate, delivering sustainable prosperity.'</w:t>
      </w:r>
    </w:p>
    <w:p>
      <w:r>
        <w:rPr>
          <w:b w:val="0"/>
          <w:i w:val="0"/>
          <w:sz w:val="22"/>
        </w:rPr>
        <w:t>Mission: To compound long-term shareholder value by operating disciplined, ESG-aligned, digitally-enabled businesses across the ASEAN economic corridor.</w:t>
      </w:r>
    </w:p>
    <w:p>
      <w:r>
        <w:rPr>
          <w:b/>
          <w:i w:val="0"/>
          <w:sz w:val="22"/>
        </w:rPr>
        <w:t>Five Strategic Pillars:</w:t>
      </w:r>
    </w:p>
    <w:p>
      <w:pPr>
        <w:pStyle w:val="ListBullet"/>
      </w:pPr>
      <w:r>
        <w:rPr>
          <w:sz w:val="22"/>
        </w:rPr>
        <w:t>Portfolio Optimisation — concentrate capital on top-quartile divisions; exit sub-scale and non-core</w:t>
      </w:r>
    </w:p>
    <w:p>
      <w:pPr>
        <w:pStyle w:val="ListBullet"/>
      </w:pPr>
      <w:r>
        <w:rPr>
          <w:sz w:val="22"/>
        </w:rPr>
        <w:t>Digital Transformation — AI/Copilot rollout, ERP harmonisation (S/4HANA), shared data platform</w:t>
      </w:r>
    </w:p>
    <w:p>
      <w:pPr>
        <w:pStyle w:val="ListBullet"/>
      </w:pPr>
      <w:r>
        <w:rPr>
          <w:sz w:val="22"/>
        </w:rPr>
        <w:t>ESG Leadership — Net Zero 2050; RSPO 100%; EUDR-ready by FY2026; 40% women in leadership by 2028</w:t>
      </w:r>
    </w:p>
    <w:p>
      <w:pPr>
        <w:pStyle w:val="ListBullet"/>
      </w:pPr>
      <w:r>
        <w:rPr>
          <w:sz w:val="22"/>
        </w:rPr>
        <w:t>Talent Excellence — Group leadership academy; 40 hrs/year L&amp;D; targeted retention in critical roles</w:t>
      </w:r>
    </w:p>
    <w:p>
      <w:pPr>
        <w:pStyle w:val="ListBullet"/>
      </w:pPr>
      <w:r>
        <w:rPr>
          <w:sz w:val="22"/>
        </w:rPr>
        <w:t>Capital Efficiency — Net Debt/EBITDA &lt;3.0x by FY2027; ROIC &gt;12% by FY2028; REIT IPO 2026</w:t>
      </w:r>
    </w:p>
    <w:p>
      <w:r>
        <w:rPr>
          <w:b/>
          <w:color w:val="1F2D55"/>
          <w:sz w:val="32"/>
        </w:rPr>
        <w:t>Section 2: Division-by-Division Strategy</w:t>
      </w:r>
    </w:p>
    <w:p>
      <w:r>
        <w:rPr>
          <w:b/>
          <w:i w:val="0"/>
          <w:sz w:val="22"/>
        </w:rPr>
        <w:t>Zava Agribusiness</w:t>
      </w:r>
    </w:p>
    <w:p>
      <w:r>
        <w:rPr>
          <w:b w:val="0"/>
          <w:i w:val="0"/>
          <w:sz w:val="22"/>
        </w:rPr>
        <w:t>Largest division by revenue (MYR 8.4B FY2024). Strategy: replant 18% of mature estates over FY2026-2028; achieve 100% RSPO certification (currently 92%); exit Lestari peatland operations; expand downstream oleochemicals partnership with Zava Chemicals.</w:t>
      </w:r>
    </w:p>
    <w:p>
      <w:r>
        <w:rPr>
          <w:b/>
          <w:i w:val="0"/>
          <w:sz w:val="22"/>
        </w:rPr>
        <w:t>Zava Chemicals</w:t>
      </w:r>
    </w:p>
    <w:p>
      <w:r>
        <w:rPr>
          <w:b w:val="0"/>
          <w:i w:val="0"/>
          <w:sz w:val="22"/>
        </w:rPr>
        <w:t>Resolve Cilegon enforcement issues; debottleneck Kertih to add 60K MT specialty capacity; evaluate JV for green chemicals (bio-based surfactants) with European partner.</w:t>
      </w:r>
    </w:p>
    <w:p>
      <w:r>
        <w:rPr>
          <w:b/>
          <w:i w:val="0"/>
          <w:sz w:val="22"/>
        </w:rPr>
        <w:t>Zava Manufacturing</w:t>
      </w:r>
    </w:p>
    <w:p>
      <w:r>
        <w:rPr>
          <w:b w:val="0"/>
          <w:i w:val="0"/>
          <w:sz w:val="22"/>
        </w:rPr>
        <w:t>Recover Nilai OEE to &gt;75% by FY2027 (capex MYR 86M); MES Phase 1 go-live FY2026; expand Bekasi industrial packaging; consider divestment of Subang Jaya electronics (sub-scale).</w:t>
      </w:r>
    </w:p>
    <w:p>
      <w:r>
        <w:rPr>
          <w:b/>
          <w:i w:val="0"/>
          <w:sz w:val="22"/>
        </w:rPr>
        <w:t>Zava Financial Services (Zava Bank)</w:t>
      </w:r>
    </w:p>
    <w:p>
      <w:r>
        <w:rPr>
          <w:b w:val="0"/>
          <w:i w:val="0"/>
          <w:sz w:val="22"/>
        </w:rPr>
        <w:t>Resolve retail personal NPL breach (target &lt;8% by Q4 FY2026); accelerate Islamic Banking growth (&gt;20% YoY); explore digital bank licence application; evaluate non-core divestments.</w:t>
      </w:r>
    </w:p>
    <w:p>
      <w:r>
        <w:rPr>
          <w:b/>
          <w:i w:val="0"/>
          <w:sz w:val="22"/>
        </w:rPr>
        <w:t>Zava Properties</w:t>
      </w:r>
    </w:p>
    <w:p>
      <w:r>
        <w:rPr>
          <w:b w:val="0"/>
          <w:i w:val="0"/>
          <w:sz w:val="22"/>
        </w:rPr>
        <w:t>REIT IPO target Q4 FY2026 (~MYR 8.2B asset injection); divest Plaza Zava PJ + Medan asset; focus on industrial logistics + data centre asset class growth.</w:t>
      </w:r>
    </w:p>
    <w:p>
      <w:r>
        <w:rPr>
          <w:b/>
          <w:i w:val="0"/>
          <w:sz w:val="22"/>
        </w:rPr>
        <w:t>Zava BPO &amp; Digital</w:t>
      </w:r>
    </w:p>
    <w:p>
      <w:r>
        <w:rPr>
          <w:b w:val="0"/>
          <w:i w:val="0"/>
          <w:sz w:val="22"/>
        </w:rPr>
        <w:t>Renew Sime Darby + Bank Mandiri + Pan Pacific contracts; reduce Bengaluru attrition &lt;22%; expand into AI-augmented services (intelligent document processing, copilot deployment).</w:t>
      </w:r>
    </w:p>
    <w:p>
      <w:r>
        <w:rPr>
          <w:b/>
          <w:i w:val="0"/>
          <w:sz w:val="22"/>
        </w:rPr>
        <w:t>Zava Trading</w:t>
      </w:r>
    </w:p>
    <w:p>
      <w:r>
        <w:rPr>
          <w:b w:val="0"/>
          <w:i w:val="0"/>
          <w:sz w:val="22"/>
        </w:rPr>
        <w:t>De-risk coal desk after position breach; expand structured commodity finance; develop carbon credit trading capability (Bursa Carbon Exchange + IDX Carbon).</w:t>
      </w:r>
    </w:p>
    <w:p>
      <w:r>
        <w:rPr>
          <w:b/>
          <w:i w:val="0"/>
          <w:sz w:val="22"/>
        </w:rPr>
        <w:t>Zava Pharma</w:t>
      </w:r>
    </w:p>
    <w:p>
      <w:r>
        <w:rPr>
          <w:b w:val="0"/>
          <w:i w:val="0"/>
          <w:sz w:val="22"/>
        </w:rPr>
        <w:t>Launch Sitagliptin (delayed Q3 FY2026) and Rosuvastatin; advance Empagliflozin Phase 2; evaluate biosimilar partnership for adalimumab; expand into Vietnam + Philippines.</w:t>
      </w:r>
    </w:p>
    <w:p>
      <w:r>
        <w:rPr>
          <w:b/>
          <w:i w:val="0"/>
          <w:sz w:val="22"/>
        </w:rPr>
        <w:t>Zava Healthcare</w:t>
      </w:r>
    </w:p>
    <w:p>
      <w:r>
        <w:rPr>
          <w:b w:val="0"/>
          <w:i w:val="0"/>
          <w:sz w:val="22"/>
        </w:rPr>
        <w:t>Acquire 1-2 hospital groups in MY + ID over FY2026-2027 (4 targets in evaluation); expand specialty centres (cardiac, oncology); BPJS/government scheme expansion in Indonesia.</w:t>
      </w:r>
    </w:p>
    <w:p>
      <w:r>
        <w:rPr>
          <w:b/>
          <w:i w:val="0"/>
          <w:sz w:val="22"/>
        </w:rPr>
        <w:t>Zava Retail &amp; Hospitality</w:t>
      </w:r>
    </w:p>
    <w:p>
      <w:r>
        <w:rPr>
          <w:b w:val="0"/>
          <w:i w:val="0"/>
          <w:sz w:val="22"/>
        </w:rPr>
        <w:t>Reposition hotel portfolio (3 brands → 2); divest underperforming retail strip locations; explore F&amp;B chain partnership.</w:t>
      </w:r>
    </w:p>
    <w:p>
      <w:r>
        <w:rPr>
          <w:b/>
          <w:i w:val="0"/>
          <w:sz w:val="22"/>
        </w:rPr>
        <w:t>Group/Holdings</w:t>
      </w:r>
    </w:p>
    <w:p>
      <w:r>
        <w:rPr>
          <w:b w:val="0"/>
          <w:i w:val="0"/>
          <w:sz w:val="22"/>
        </w:rPr>
        <w:t>Capital recycling: ~MYR 4.2B targeted divestments over FY2026-2027 to fund capex + reduce debt. Group treasury cost reduction: -MYR 80M annualised by Q4 FY2026.</w:t>
      </w:r>
    </w:p>
    <w:p>
      <w:r>
        <w:rPr>
          <w:b/>
          <w:color w:val="1F2D55"/>
          <w:sz w:val="32"/>
        </w:rPr>
        <w:t>Section 3: M&amp;A Pipeline &amp; Capital Allocation</w:t>
      </w:r>
    </w:p>
    <w:p>
      <w:r>
        <w:rPr>
          <w:b/>
          <w:i w:val="0"/>
          <w:sz w:val="22"/>
        </w:rPr>
        <w:t>FY2026-2027 capital plan: MYR 12.4B total deployment.</w:t>
      </w:r>
    </w:p>
    <w:p>
      <w:pPr>
        <w:pStyle w:val="ListBullet"/>
      </w:pPr>
      <w:r>
        <w:rPr>
          <w:sz w:val="22"/>
        </w:rPr>
        <w:t>Healthcare M&amp;A: 4 targets in evaluation (PrimeCare MY, IndoMed ID, ThaiMed TH, VietHealth VN); est. MYR 3.2B</w:t>
      </w:r>
    </w:p>
    <w:p>
      <w:pPr>
        <w:pStyle w:val="ListBullet"/>
      </w:pPr>
      <w:r>
        <w:rPr>
          <w:sz w:val="22"/>
        </w:rPr>
        <w:t>Pharma M&amp;A: 1 ASEAN generics manufacturer in scoping; est. MYR 800M</w:t>
      </w:r>
    </w:p>
    <w:p>
      <w:pPr>
        <w:pStyle w:val="ListBullet"/>
      </w:pPr>
      <w:r>
        <w:rPr>
          <w:sz w:val="22"/>
        </w:rPr>
        <w:t>Greenfield capex: MYR 6.4B (chemicals, BPO, properties, healthcare)</w:t>
      </w:r>
    </w:p>
    <w:p>
      <w:pPr>
        <w:pStyle w:val="ListBullet"/>
      </w:pPr>
      <w:r>
        <w:rPr>
          <w:sz w:val="22"/>
        </w:rPr>
        <w:t>Divestments to recycle: MYR 4.2B (Plaza Zava PJ, Medan office, retail strip, electronics)</w:t>
      </w:r>
    </w:p>
    <w:p>
      <w:pPr>
        <w:pStyle w:val="ListBullet"/>
      </w:pPr>
      <w:r>
        <w:rPr>
          <w:sz w:val="22"/>
        </w:rPr>
        <w:t>REIT IPO injection: MYR 8.2B (off-balance, raises ~MYR 4.0B net cash)</w:t>
      </w:r>
    </w:p>
    <w:p>
      <w:r>
        <w:rPr>
          <w:b/>
          <w:color w:val="1F2D55"/>
          <w:sz w:val="32"/>
        </w:rPr>
        <w:t>Section 4: ESG &amp; Sustainability Targets</w:t>
      </w:r>
    </w:p>
    <w:p>
      <w:pPr>
        <w:pStyle w:val="ListBullet"/>
      </w:pPr>
      <w:r>
        <w:rPr>
          <w:sz w:val="22"/>
        </w:rPr>
        <w:t>Net Zero by 2050; interim 2030: -30% Scope 1+2 vs 2022 baseline</w:t>
      </w:r>
    </w:p>
    <w:p>
      <w:pPr>
        <w:pStyle w:val="ListBullet"/>
      </w:pPr>
      <w:r>
        <w:rPr>
          <w:sz w:val="22"/>
        </w:rPr>
        <w:t>100% RSPO/MSPO certification across all plantations by FY2027</w:t>
      </w:r>
    </w:p>
    <w:p>
      <w:pPr>
        <w:pStyle w:val="ListBullet"/>
      </w:pPr>
      <w:r>
        <w:rPr>
          <w:sz w:val="22"/>
        </w:rPr>
        <w:t>Zero deforestation; zero peatland; phased Lestari estate transition by FY2027</w:t>
      </w:r>
    </w:p>
    <w:p>
      <w:pPr>
        <w:pStyle w:val="ListBullet"/>
      </w:pPr>
      <w:r>
        <w:rPr>
          <w:sz w:val="22"/>
        </w:rPr>
        <w:t>EUDR compliance (geolocation + due diligence): 100% by 31 Dec 2025</w:t>
      </w:r>
    </w:p>
    <w:p>
      <w:pPr>
        <w:pStyle w:val="ListBullet"/>
      </w:pPr>
      <w:r>
        <w:rPr>
          <w:sz w:val="22"/>
        </w:rPr>
        <w:t>Women in leadership (C6+): 40% by FY2028 (current 32%)</w:t>
      </w:r>
    </w:p>
    <w:p>
      <w:pPr>
        <w:pStyle w:val="ListBullet"/>
      </w:pPr>
      <w:r>
        <w:rPr>
          <w:sz w:val="22"/>
        </w:rPr>
        <w:t>Community investment: minimum 1% of Group PAT annually</w:t>
      </w:r>
    </w:p>
    <w:p>
      <w:pPr>
        <w:pStyle w:val="ListBullet"/>
      </w:pPr>
      <w:r>
        <w:rPr>
          <w:sz w:val="22"/>
        </w:rPr>
        <w:t>Renewable energy: 30% of group electricity by FY2028</w:t>
      </w:r>
    </w:p>
    <w:p>
      <w:r>
        <w:rPr>
          <w:b/>
          <w:color w:val="1F2D55"/>
          <w:sz w:val="32"/>
        </w:rPr>
        <w:t>Section 5: Digital Transformation Roadmap</w:t>
      </w:r>
    </w:p>
    <w:p>
      <w:r>
        <w:rPr>
          <w:b w:val="0"/>
          <w:i w:val="0"/>
          <w:sz w:val="22"/>
        </w:rPr>
        <w:t>Phase 1 (FY2026): Microsoft 365 Copilot rollout to ~12,000 C4+ staff; foundational data platform on Microsoft Fabric; Power Platform citizen developer programme.</w:t>
      </w:r>
    </w:p>
    <w:p>
      <w:r>
        <w:rPr>
          <w:b w:val="0"/>
          <w:i w:val="0"/>
          <w:sz w:val="22"/>
        </w:rPr>
        <w:t>Phase 2 (FY2027): ERP harmonisation programme — S/4HANA cloud migration for 6 of 11 divisions; shared services consolidation in KL + Jakarta; agentic AI for finance + HR.</w:t>
      </w:r>
    </w:p>
    <w:p>
      <w:r>
        <w:rPr>
          <w:b w:val="0"/>
          <w:i w:val="0"/>
          <w:sz w:val="22"/>
        </w:rPr>
        <w:t>Phase 3 (FY2028-2030): Industry-specific AI agents (plantation yield, bank credit, hospital scheduling, manufacturing OEE); customer-facing AI products in BPO + Pharma.</w:t>
      </w:r>
    </w:p>
    <w:p>
      <w:r>
        <w:rPr>
          <w:b/>
          <w:color w:val="1F2D55"/>
          <w:sz w:val="32"/>
        </w:rPr>
        <w:t>Section 6: Risk to Strategy Delivery</w:t>
      </w:r>
    </w:p>
    <w:p>
      <w:pPr>
        <w:pStyle w:val="ListBullet"/>
      </w:pPr>
      <w:r>
        <w:rPr>
          <w:sz w:val="22"/>
        </w:rPr>
        <w:t>FY2025 EBITDA miss (-19% vs Budget) compresses cash for capex/M&amp;A</w:t>
      </w:r>
    </w:p>
    <w:p>
      <w:pPr>
        <w:pStyle w:val="ListBullet"/>
      </w:pPr>
      <w:r>
        <w:rPr>
          <w:sz w:val="22"/>
        </w:rPr>
        <w:t>Lender covenant pressure (Net Debt/EBITDA approaching 4.0x) constrains balance sheet</w:t>
      </w:r>
    </w:p>
    <w:p>
      <w:pPr>
        <w:pStyle w:val="ListBullet"/>
      </w:pPr>
      <w:r>
        <w:rPr>
          <w:sz w:val="22"/>
        </w:rPr>
        <w:t>EUDR compliance — Lestari estate must transition by Dec 2025 to avoid EU export ban</w:t>
      </w:r>
    </w:p>
    <w:p>
      <w:pPr>
        <w:pStyle w:val="ListBullet"/>
      </w:pPr>
      <w:r>
        <w:rPr>
          <w:sz w:val="22"/>
        </w:rPr>
        <w:t>Cilegon enforcement — risk of plant licence non-renewal if BPOM corrective actions slip</w:t>
      </w:r>
    </w:p>
    <w:p>
      <w:pPr>
        <w:pStyle w:val="ListBullet"/>
      </w:pPr>
      <w:r>
        <w:rPr>
          <w:sz w:val="22"/>
        </w:rPr>
        <w:t>BNM oversight — retail personal NPL breach may attract additional capital requirement</w:t>
      </w:r>
    </w:p>
    <w:p>
      <w:pPr>
        <w:pStyle w:val="ListBullet"/>
      </w:pPr>
      <w:r>
        <w:rPr>
          <w:sz w:val="22"/>
        </w:rPr>
        <w:t>Talent: critical-role attrition (Bengaluru BPO 31%, plantation managers 25%)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