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D55"/>
          <w:sz w:val="40"/>
        </w:rPr>
        <w:t>ZAVA GROUP</w:t>
      </w:r>
    </w:p>
    <w:p>
      <w:pPr>
        <w:jc w:val="center"/>
      </w:pPr>
      <w:r>
        <w:rPr>
          <w:b/>
          <w:color w:val="1F2D55"/>
          <w:sz w:val="40"/>
        </w:rPr>
        <w:t>FY2025 INVESTOR Q&amp;A</w:t>
      </w:r>
    </w:p>
    <w:p>
      <w:pPr>
        <w:jc w:val="center"/>
      </w:pPr>
      <w:r>
        <w:rPr>
          <w:b/>
          <w:color w:val="1F2D55"/>
          <w:sz w:val="40"/>
        </w:rPr>
        <w:t>ANTICIPATED QUESTIONS &amp; PREPARED RESPONSES</w:t>
      </w:r>
    </w:p>
    <w:p>
      <w:pPr>
        <w:jc w:val="center"/>
      </w:pPr>
      <w:r>
        <w:rPr>
          <w:b w:val="0"/>
          <w:i/>
          <w:sz w:val="20"/>
        </w:rPr>
        <w:t>Status: DRAFT v0.4  |  Owner: Daichi Maruyama, Head of Investor Relations</w:t>
      </w:r>
    </w:p>
    <w:p>
      <w:pPr>
        <w:jc w:val="center"/>
      </w:pPr>
      <w:r>
        <w:rPr>
          <w:b/>
          <w:i/>
          <w:color w:val="C0392B"/>
          <w:sz w:val="20"/>
        </w:rPr>
        <w:t>For internal use ONLY — not for external distribution</w:t>
      </w:r>
    </w:p>
    <w:p>
      <w:pPr>
        <w:jc w:val="center"/>
      </w:pPr>
      <w:r>
        <w:rPr>
          <w:b w:val="0"/>
          <w:i w:val="0"/>
          <w:sz w:val="20"/>
        </w:rPr>
        <w:t>Audience: Sell-side analysts (CIMB, Maybank IB, RHB, JP Morgan, Morgan Stanley, Macquarie, Mandiri Sekuritas, BCA Sekuritas), top-15 buy-side institutions (EPF, KWAP, PNB, BPJS-K, Fidelity, BlackRock, Aberdeen, Capital Group), and rating agencies (RAM, MARC, Moody's).</w:t>
      </w:r>
    </w:p>
    <w:p/>
    <w:p>
      <w:r>
        <w:rPr>
          <w:b/>
          <w:color w:val="1F2D55"/>
          <w:sz w:val="32"/>
        </w:rPr>
        <w:t>Section 1: FY2025 Earnings Miss</w:t>
      </w:r>
    </w:p>
    <w:p>
      <w:r>
        <w:rPr>
          <w:b/>
          <w:color w:val="1F2D55"/>
          <w:sz w:val="32"/>
        </w:rPr>
        <w:t>Section 2: Operational &amp; Regulatory</w:t>
      </w:r>
    </w:p>
    <w:p>
      <w:r>
        <w:rPr>
          <w:b/>
          <w:color w:val="1F2D55"/>
          <w:sz w:val="32"/>
        </w:rPr>
        <w:t>Section 3: Strategic Direction</w:t>
      </w:r>
    </w:p>
    <w:p>
      <w:r>
        <w:rPr>
          <w:b/>
          <w:color w:val="1F2D55"/>
          <w:sz w:val="32"/>
        </w:rPr>
        <w:t>Section 4: Capital &amp; Returns</w:t>
      </w:r>
    </w:p>
    <w:p>
      <w:r>
        <w:rPr>
          <w:b/>
          <w:color w:val="1F2D55"/>
          <w:sz w:val="22"/>
        </w:rPr>
        <w:t>Q1. FY2025 EBITDA forecast at MYR 5.8B is ~26% below the original budget of MYR 7.8B and ~12% below FY2024 actual. What happened?</w:t>
      </w:r>
    </w:p>
    <w:p>
      <w:r>
        <w:rPr>
          <w:b w:val="0"/>
          <w:i w:val="0"/>
          <w:sz w:val="20"/>
        </w:rPr>
        <w:t>Response: Three primary drivers: (a) commodity headwinds — CPO down 14% YoY and feedstock palm kernel oil +18% squeezing oleochemicals margins by 320bps; (b) operational issues — Cilegon plant 3 BPOM enforcement notices took 3 product lines offline in Q1, Nilai factory OEE declined from 76% to 62% on aging spindle motors; (c) financial services — retail personal loans NPL at 21.7% (up from 18.6% Q4 FY2024), triggering MYR 240M additional provisioning and BNM remediation order. We have action plans on each (refer 04_Zava_Divisional_Variance_FY2025.xlsx Action Plan tab).</w:t>
      </w:r>
    </w:p>
    <w:p>
      <w:r>
        <w:rPr>
          <w:b w:val="0"/>
          <w:i/>
          <w:color w:val="666666"/>
          <w:sz w:val="18"/>
        </w:rPr>
        <w:t>[Internal note: Refer to 04_Divisional_Variance and 21_Zava_Chemical_Safety_HIRARC for detail]</w:t>
      </w:r>
    </w:p>
    <w:p/>
    <w:p>
      <w:r>
        <w:rPr>
          <w:b/>
          <w:color w:val="1F2D55"/>
          <w:sz w:val="22"/>
        </w:rPr>
        <w:t>Q2. Will you cut the dividend?</w:t>
      </w:r>
    </w:p>
    <w:p>
      <w:r>
        <w:rPr>
          <w:b w:val="0"/>
          <w:i w:val="0"/>
          <w:sz w:val="20"/>
        </w:rPr>
        <w:t>Response: We are recommending an interim dividend of 4 sen (vs 9 sen FY2024 interim), with the final dividend decision to be taken at the FY2025 results meeting in March 2026. Our dividend policy remains 40-55% payout of PATAMI; we expect to remain within the lower end of that band. We will not breach our progressive dividend commitment of MYR 0.10 minimum per share.</w:t>
      </w:r>
    </w:p>
    <w:p>
      <w:r>
        <w:rPr>
          <w:b w:val="0"/>
          <w:i/>
          <w:color w:val="666666"/>
          <w:sz w:val="18"/>
        </w:rPr>
        <w:t>[Internal note: Coordinate response with Group CFO before any external comment]</w:t>
      </w:r>
    </w:p>
    <w:p/>
    <w:p>
      <w:r>
        <w:rPr>
          <w:b/>
          <w:color w:val="1F2D55"/>
          <w:sz w:val="22"/>
        </w:rPr>
        <w:t>Q3. Are you in compliance with your debt covenants?</w:t>
      </w:r>
    </w:p>
    <w:p>
      <w:r>
        <w:rPr>
          <w:b w:val="0"/>
          <w:i w:val="0"/>
          <w:sz w:val="20"/>
        </w:rPr>
        <w:t>Response: We are in compliance with all financial covenants as of Q1 FY2025. Our forward forecast shows Net Debt/EBITDA reaching 3.97x at Q4 FY2025, marginally above the 3.50x cap in our Senior Term Loan A (MYR 4.8B facility). We have engaged the lender consortium and have a clear path back to &lt;3.5x: REIT IPO (Q4 FY2026, ~MYR 4.0B net proceeds) and divestments (~MYR 4.2B over FY2026-2027). We do not anticipate a covenant waiver request, but the lenders are aware of the trajectory.</w:t>
      </w:r>
    </w:p>
    <w:p>
      <w:r>
        <w:rPr>
          <w:b w:val="0"/>
          <w:i/>
          <w:color w:val="666666"/>
          <w:sz w:val="18"/>
        </w:rPr>
        <w:t>[Internal note: DO NOT volunteer a 'we may breach' framing. Acknowledge headroom is thin; emphasise mitigants.]</w:t>
      </w:r>
    </w:p>
    <w:p/>
    <w:p>
      <w:r>
        <w:rPr>
          <w:b/>
          <w:color w:val="1F2D55"/>
          <w:sz w:val="22"/>
        </w:rPr>
        <w:t>Q4. Update on the Cilegon Chemicals plant enforcement?</w:t>
      </w:r>
    </w:p>
    <w:p>
      <w:r>
        <w:rPr>
          <w:b w:val="0"/>
          <w:i w:val="0"/>
          <w:sz w:val="20"/>
        </w:rPr>
        <w:t>Response: BPOM Indonesia issued three enforcement notices in Q1 2025: effluent discharge breach (Jan), chemical storage labelling non-compliance (Feb), PPE non-compliance (Mar). Two specialty chemical lines have been suspended pending corrective action. We have submitted a corrective action plan (CAP) to BPOM and engaged independent EHS auditor SGS for verification. Target production restart Q3 FY2025. Estimated revenue impact: ~MYR 80M per quarter while idle.</w:t>
      </w:r>
    </w:p>
    <w:p>
      <w:r>
        <w:rPr>
          <w:b w:val="0"/>
          <w:i/>
          <w:color w:val="666666"/>
          <w:sz w:val="18"/>
        </w:rPr>
        <w:t>[Internal note: Refer 21_Zava_Chemical_Safety_HIRARC for technical detail]</w:t>
      </w:r>
    </w:p>
    <w:p/>
    <w:p>
      <w:r>
        <w:rPr>
          <w:b/>
          <w:color w:val="1F2D55"/>
          <w:sz w:val="22"/>
        </w:rPr>
        <w:t>Q5. Update on RSPO suspension at the Lestari estate?</w:t>
      </w:r>
    </w:p>
    <w:p>
      <w:r>
        <w:rPr>
          <w:b w:val="0"/>
          <w:i w:val="0"/>
          <w:sz w:val="20"/>
        </w:rPr>
        <w:t>Response: Perkebunan Lestari (East Kalimantan, 11,200ha planted) was suspended by RSPO in October 2024 over peatland concerns (8,200ha at-risk soil depth &gt;3m) and EUDR-relevant deforestation in the previous land conversion (pre-Zava acquisition). We have committed to: (a) ceasing new planting in the at-risk area; (b) developing a peatland transition plan with conservation partner; (c) full geolocation traceability for EUDR by 31 Dec 2025. We are NOT seeking to rescind the suspension via litigation — we are working with RSPO Complaints Panel.</w:t>
      </w:r>
    </w:p>
    <w:p>
      <w:r>
        <w:rPr>
          <w:b w:val="0"/>
          <w:i/>
          <w:color w:val="666666"/>
          <w:sz w:val="18"/>
        </w:rPr>
        <w:t>[Internal note: If asked about EU customer reaction: confirm Unilever, Nestle, P&amp;G have provisional acceptance subject to EUDR-readiness audit]</w:t>
      </w:r>
    </w:p>
    <w:p/>
    <w:p>
      <w:r>
        <w:rPr>
          <w:b/>
          <w:color w:val="1F2D55"/>
          <w:sz w:val="22"/>
        </w:rPr>
        <w:t>Q6. Zava Bank retail NPL — is this systemic?</w:t>
      </w:r>
    </w:p>
    <w:p>
      <w:r>
        <w:rPr>
          <w:b w:val="0"/>
          <w:i w:val="0"/>
          <w:sz w:val="20"/>
        </w:rPr>
        <w:t>Response: No. The NPL spike is concentrated in unsecured retail personal loans originated 2022-2023 during a period of aggressive growth. We have tightened credit policy effective Q4 FY2024 (minimum credit score, debt service ratio cap, blacklist screening) and are seeing leading indicators improve in vintages originated post-Q4 2024. Other portfolios — corporate, SME, mortgage, Islamic — remain healthy with NPL well below 3.5% BNM threshold. We expect the portfolio NPL to peak at ~22% in Q2 FY2025 and decline to &lt;8% by Q4 FY2026.</w:t>
      </w:r>
    </w:p>
    <w:p>
      <w:r>
        <w:rPr>
          <w:b w:val="0"/>
          <w:i/>
          <w:color w:val="666666"/>
          <w:sz w:val="18"/>
        </w:rPr>
        <w:t>[Internal note: DO NOT suggest other segments will have similar issues]</w:t>
      </w:r>
    </w:p>
    <w:p/>
    <w:p>
      <w:r>
        <w:rPr>
          <w:b/>
          <w:color w:val="1F2D55"/>
          <w:sz w:val="22"/>
        </w:rPr>
        <w:t>Q7. Are you still committed to the REIT IPO?</w:t>
      </w:r>
    </w:p>
    <w:p>
      <w:r>
        <w:rPr>
          <w:b w:val="0"/>
          <w:i w:val="0"/>
          <w:sz w:val="20"/>
        </w:rPr>
        <w:t>Response: Yes. Zava Properties REIT remains a strategic priority. We targeted Q4 FY2026 listing on Bursa Malaysia. The REIT will inject ~MYR 8.2B of REIT-eligible assets (Grade A offices, industrial logistics, data centre, retail malls). We have engaged CIMB IB and Maybank IB as joint principal advisors; structuring work is ongoing with PWC and KPMG. Expected net proceeds to Zava Group post-injection: ~MYR 4.0B, used to repay senior debt and fund healthcare M&amp;A.</w:t>
      </w:r>
    </w:p>
    <w:p>
      <w:r>
        <w:rPr>
          <w:b w:val="0"/>
          <w:i/>
          <w:color w:val="666666"/>
          <w:sz w:val="18"/>
        </w:rPr>
        <w:t>[Internal note: Coordinate timing language with Group CFO + IB advisors]</w:t>
      </w:r>
    </w:p>
    <w:p/>
    <w:p>
      <w:r>
        <w:rPr>
          <w:b/>
          <w:color w:val="1F2D55"/>
          <w:sz w:val="22"/>
        </w:rPr>
        <w:t>Q8. M&amp;A in healthcare — can you afford it?</w:t>
      </w:r>
    </w:p>
    <w:p>
      <w:r>
        <w:rPr>
          <w:b w:val="0"/>
          <w:i w:val="0"/>
          <w:sz w:val="20"/>
        </w:rPr>
        <w:t>Response: Yes, but we are being disciplined. We have 4 targets in evaluation (PrimeCare MY, IndoMed ID, ThaiMed TH, VietHealth VN). Total transaction size ranges MYR 1.6-2.8B per target; we will prioritise 1-2 acquisitions over FY2026-2027. Funding mix: ~50% from REIT IPO net proceeds, ~30% from operating cash flow, ~20% from new debt or equity if necessary. We will not accelerate M&amp;A at the expense of covenant compliance.</w:t>
      </w:r>
    </w:p>
    <w:p>
      <w:r>
        <w:rPr>
          <w:b w:val="0"/>
          <w:i/>
          <w:color w:val="666666"/>
          <w:sz w:val="18"/>
        </w:rPr>
        <w:t>[Internal note: Highlight Healthcare division is our strongest performer (+8% EBITDA YoY)]</w:t>
      </w:r>
    </w:p>
    <w:p/>
    <w:p>
      <w:r>
        <w:rPr>
          <w:b/>
          <w:color w:val="1F2D55"/>
          <w:sz w:val="22"/>
        </w:rPr>
        <w:t>Q9. Why not divest non-core businesses faster?</w:t>
      </w:r>
    </w:p>
    <w:p>
      <w:r>
        <w:rPr>
          <w:b w:val="0"/>
          <w:i w:val="0"/>
          <w:sz w:val="20"/>
        </w:rPr>
        <w:t>Response: We have started. FY2026 divestment pipeline: Plaza Zava PJ (estimated MYR 175M), Medan office asset (estimated IDR 480B, ~MYR 130M), retail strip portfolio (estimated MYR 90M), and potentially Subang Jaya electronics manufacturing (under strategic review). Total expected FY2026 proceeds: MYR 0.6-0.8B. The bulk of divestments occur in FY2027 once REIT is established.</w:t>
      </w:r>
    </w:p>
    <w:p>
      <w:r>
        <w:rPr>
          <w:b w:val="0"/>
          <w:i/>
          <w:color w:val="666666"/>
          <w:sz w:val="18"/>
        </w:rPr>
        <w:t>[Internal note: Refer 03_Zava_Group_Strategy_Framework Section 3 for detail]</w:t>
      </w:r>
    </w:p>
    <w:p/>
    <w:p>
      <w:r>
        <w:rPr>
          <w:b/>
          <w:color w:val="1F2D55"/>
          <w:sz w:val="22"/>
        </w:rPr>
        <w:t>Q10. ROIC has fallen below your 12% target. When will it recover?</w:t>
      </w:r>
    </w:p>
    <w:p>
      <w:r>
        <w:rPr>
          <w:b w:val="0"/>
          <w:i w:val="0"/>
          <w:sz w:val="20"/>
        </w:rPr>
        <w:t>Response: FY2025 forecast ROIC ~7.4% (vs 11.2% FY2024) reflects the EBITDA shortfall and elevated capital base from FY2024 capex. Recovery path: (a) FY2026 restoration of underperforming divisions, (b) divestment of low-return assets, (c) REIT IPO removes ~MYR 8.2B from group balance sheet, (d) operating leverage as revenue recovers. We expect ROIC to recover to 9.5% by FY2026 and exceed 12% by FY2028.</w:t>
      </w:r>
    </w:p>
    <w:p/>
    <w:p>
      <w:r>
        <w:rPr>
          <w:b/>
          <w:color w:val="1F2D55"/>
          <w:sz w:val="22"/>
        </w:rPr>
        <w:t>Q11. Will Zava Group raise equity?</w:t>
      </w:r>
    </w:p>
    <w:p>
      <w:r>
        <w:rPr>
          <w:b w:val="0"/>
          <w:i w:val="0"/>
          <w:sz w:val="20"/>
        </w:rPr>
        <w:t>Response: Equity raise is not in our base plan. Our base case is REIT IPO + divestments + operating cash flow funds the FY2026-2027 capital plan. Equity raise becomes a consideration only in our Severe Downside scenario (probability ~8%) — refer to 05_Zava_Lender_Covenant_Tracker stress test sheet. Our preference is to preserve EPS dilution.</w:t>
      </w:r>
    </w:p>
    <w:p>
      <w:r>
        <w:rPr>
          <w:b w:val="0"/>
          <w:i/>
          <w:color w:val="666666"/>
          <w:sz w:val="18"/>
        </w:rPr>
        <w:t>[Internal note: DO NOT use language that suggests equity raise is being prepared]</w:t>
      </w:r>
    </w:p>
    <w:p/>
    <w:p>
      <w:r>
        <w:rPr>
          <w:b/>
          <w:color w:val="1F2D55"/>
          <w:sz w:val="22"/>
        </w:rPr>
        <w:t>Q12. AGM resolutions — any controversial items?</w:t>
      </w:r>
    </w:p>
    <w:p>
      <w:r>
        <w:rPr>
          <w:b w:val="0"/>
          <w:i w:val="0"/>
          <w:sz w:val="20"/>
        </w:rPr>
        <w:t>Response: All standard resolutions: dividend approval, director re-elections (3 retiring by rotation), auditor re-appointment, authority to issue shares (10% general mandate, used 0% historically), share buyback authority. No related-party transactions requiring shareholder approval. ESG shareholder activism: we anticipate questions on Lestari estate from Climate Action 100+ members; we have prepared talking points and will publish detailed transition roadmap pre-AGM.</w:t>
      </w:r>
    </w:p>
    <w:p/>
    <w:p>
      <w:r>
        <w:rPr>
          <w:b/>
          <w:color w:val="1F2D55"/>
          <w:sz w:val="32"/>
        </w:rPr>
        <w:t>Section 5: Sensitive Questions — Refer to Group CEO/CFO Only</w:t>
      </w:r>
    </w:p>
    <w:p>
      <w:r>
        <w:rPr>
          <w:b/>
          <w:color w:val="C0392B"/>
          <w:sz w:val="20"/>
        </w:rPr>
        <w:t>Q13. Are you in dialogue with regulators (BNM/BPOM/RSPO/Bursa) about any material issues beyond what is publicly disclosed?</w:t>
      </w:r>
    </w:p>
    <w:p>
      <w:r>
        <w:rPr>
          <w:b/>
          <w:color w:val="C0392B"/>
          <w:sz w:val="20"/>
        </w:rPr>
        <w:t>Q14. Has the Board considered breaking up the Group / selling a major division?</w:t>
      </w:r>
    </w:p>
    <w:p>
      <w:r>
        <w:rPr>
          <w:b/>
          <w:color w:val="C0392B"/>
          <w:sz w:val="20"/>
        </w:rPr>
        <w:t>Q15. Are any senior leadership changes contemplated following the FY2025 underperformance?</w:t>
      </w:r>
    </w:p>
    <w:p>
      <w:r>
        <w:rPr>
          <w:b/>
          <w:color w:val="C0392B"/>
          <w:sz w:val="20"/>
        </w:rPr>
        <w:t>Q16. Has anyone reached out about a potential strategic transaction (sale, JV, merger) for Zava Group?</w:t>
      </w:r>
    </w:p>
    <w:p>
      <w:r>
        <w:rPr>
          <w:b/>
          <w:color w:val="C0392B"/>
          <w:sz w:val="20"/>
        </w:rPr>
        <w:t>Q17. Are there any material litigation matters not currently disclosed?</w:t>
      </w:r>
    </w:p>
    <w:p>
      <w:r>
        <w:rPr>
          <w:b w:val="0"/>
          <w:i/>
          <w:sz w:val="20"/>
        </w:rPr>
        <w:t>Standard response: 'We don't comment on speculation. The Group operates a robust governance framework and we disclose material matters in line with Bursa Malaysia + IDX listing rules. We refer you to our most recent annual report and quarterly disclosures.'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