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Mining Regulation Brief — Permen ESDM No. 7 Tahun 2026</w:t>
      </w:r>
    </w:p>
    <w:p>
      <w:r>
        <w:rPr>
          <w:b/>
          <w:sz w:val="20"/>
        </w:rPr>
        <w:t>Prepared by: Group Corporate Legal · Issue date: 15 May 2026 · Classification: Privileged &amp; Confidential</w:t>
      </w:r>
    </w:p>
    <w:p>
      <w:pPr>
        <w:pStyle w:val="Heading2"/>
      </w:pPr>
      <w:r>
        <w:t>I. Executive Summary</w:t>
      </w:r>
    </w:p>
    <w:p>
      <w:r>
        <w:rPr>
          <w:sz w:val="20"/>
        </w:rPr>
        <w:t>Permen ESDM No. 7 of 2026 (effective 1 July 2026) introduces three substantive changes affecting all PT Zava Mining (Persero) coal-mining subsidiaries: (1) accelerated coal-gasification facility deadlines under PP 96/2021 alignment; (2) new royalty (PNBP) escalator tied to HBA reference price brackets; (3) mandatory divestment-progress reporting on a quarterly basis. Non-compliance triggers IUPK suspension under UU 3/2020 (Minerba) Article 119A.</w:t>
      </w:r>
    </w:p>
    <w:p>
      <w:pPr>
        <w:pStyle w:val="Heading2"/>
      </w:pPr>
      <w:r>
        <w:t>II. Key Provisions</w:t>
      </w:r>
    </w:p>
    <w:p>
      <w:r>
        <w:rPr>
          <w:sz w:val="20"/>
        </w:rPr>
        <w:t>Article 4: Coal-gasification facility commissioning deadline brought forward by 18 months for IUPK holders &gt; 10 Mt/year output.</w:t>
      </w:r>
    </w:p>
    <w:p>
      <w:r>
        <w:rPr>
          <w:sz w:val="20"/>
        </w:rPr>
        <w:t>Article 9: PNBP escalator — 13.5% base + 1.5% per USD 10/t increment above HBA reference floor.</w:t>
      </w:r>
    </w:p>
    <w:p>
      <w:r>
        <w:rPr>
          <w:sz w:val="20"/>
        </w:rPr>
        <w:t>Article 14: Quarterly divestment-progress reporting to ESDM with comparable disclosure to BEI.</w:t>
      </w:r>
    </w:p>
    <w:p>
      <w:r>
        <w:rPr>
          <w:sz w:val="20"/>
        </w:rPr>
        <w:t>Article 21: Reclamation top-up bond requirement — 110% of disturbed-area liability (was 100%).</w:t>
      </w:r>
    </w:p>
    <w:p>
      <w:r>
        <w:rPr>
          <w:sz w:val="20"/>
        </w:rPr>
        <w:t>Article 27: Material Adverse Change (MAC) reporting trigger lowered from 15% to 10% capacity reduction.</w:t>
      </w:r>
    </w:p>
    <w:p>
      <w:pPr>
        <w:pStyle w:val="Heading2"/>
      </w:pPr>
      <w:r>
        <w:t>III. Subsidiary Exposure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Subsidiary</w:t>
            </w:r>
          </w:p>
        </w:tc>
        <w:tc>
          <w:tcPr>
            <w:tcW w:type="dxa" w:w="2160"/>
          </w:tcPr>
          <w:p>
            <w:r>
              <w:t>Article 4 Risk</w:t>
            </w:r>
          </w:p>
        </w:tc>
        <w:tc>
          <w:tcPr>
            <w:tcW w:type="dxa" w:w="2160"/>
          </w:tcPr>
          <w:p>
            <w:r>
              <w:t>Article 9 Risk</w:t>
            </w:r>
          </w:p>
        </w:tc>
        <w:tc>
          <w:tcPr>
            <w:tcW w:type="dxa" w:w="2160"/>
          </w:tcPr>
          <w:p>
            <w:r>
              <w:t>Article 21 Risk</w:t>
            </w:r>
          </w:p>
        </w:tc>
      </w:tr>
      <w:tr>
        <w:tc>
          <w:tcPr>
            <w:tcW w:type="dxa" w:w="2160"/>
          </w:tcPr>
          <w:p>
            <w:r>
              <w:t>PT Zava Coal Kalimantan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PT Zava Coal Sumatera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PT Zava Mining Services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PT Zava Coal Trading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PT Zava Tambang Tenggara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PT Zava Energi Batubara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pPr>
        <w:pStyle w:val="Heading2"/>
      </w:pPr>
      <w:r>
        <w:t>IV. Source Authorities</w:t>
      </w:r>
    </w:p>
    <w:p>
      <w:r>
        <w:rPr>
          <w:sz w:val="20"/>
        </w:rPr>
        <w:t>• Permen ESDM No. 7 Tahun 2026 (full text via JDIH-ESDM)</w:t>
      </w:r>
    </w:p>
    <w:p>
      <w:r>
        <w:rPr>
          <w:sz w:val="20"/>
        </w:rPr>
        <w:t>• UU No. 3 Tahun 2020 — Minerba (consolidated)</w:t>
      </w:r>
    </w:p>
    <w:p>
      <w:r>
        <w:rPr>
          <w:sz w:val="20"/>
        </w:rPr>
        <w:t>• PP No. 96 Tahun 2021 — IUP/IUPK Implementation</w:t>
      </w:r>
    </w:p>
    <w:p>
      <w:r>
        <w:rPr>
          <w:sz w:val="20"/>
        </w:rPr>
        <w:t>• PP No. 25 Tahun 2024 — Reclamation &amp; Post-Mining</w:t>
      </w:r>
    </w:p>
    <w:p>
      <w:r>
        <w:rPr>
          <w:sz w:val="20"/>
        </w:rPr>
        <w:t>• POJK 17/2020 — Material Transactions</w:t>
      </w:r>
    </w:p>
    <w:p>
      <w:r>
        <w:rPr>
          <w:sz w:val="20"/>
        </w:rPr>
        <w:t>• Hukumonline — Pro analysis (April 2026)</w:t>
      </w:r>
    </w:p>
    <w:p>
      <w:r>
        <w:rPr>
          <w:sz w:val="20"/>
        </w:rPr>
        <w:t>— End of brief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