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Knowledge Base — Group Corporate Legal</w:t>
      </w:r>
    </w:p>
    <w:p>
      <w:r>
        <w:rPr>
          <w:b/>
          <w:sz w:val="20"/>
        </w:rPr>
        <w:t>Master index of internal SOPs, policies, and standing legal authorities.</w:t>
      </w:r>
    </w:p>
    <w:p>
      <w:pPr>
        <w:pStyle w:val="Heading2"/>
      </w:pPr>
      <w:r>
        <w:t>1. Mining Regulation</w:t>
      </w:r>
    </w:p>
    <w:p>
      <w:r>
        <w:rPr>
          <w:sz w:val="20"/>
        </w:rPr>
        <w:t>• SOP-LGL-001 — IUP/IUPK Compliance Calendar</w:t>
      </w:r>
    </w:p>
    <w:p>
      <w:r>
        <w:rPr>
          <w:sz w:val="20"/>
        </w:rPr>
        <w:t>• SOP-LGL-002 — Royalty (PNBP) Computation &amp; Filing</w:t>
      </w:r>
    </w:p>
    <w:p>
      <w:r>
        <w:rPr>
          <w:sz w:val="20"/>
        </w:rPr>
        <w:t>• SOP-LGL-003 — Divestment Progress Reporting</w:t>
      </w:r>
    </w:p>
    <w:p>
      <w:r>
        <w:rPr>
          <w:sz w:val="20"/>
        </w:rPr>
        <w:t>• POL-LGL-101 — Reclamation &amp; Post-Mining Liability</w:t>
      </w:r>
    </w:p>
    <w:p>
      <w:pPr>
        <w:pStyle w:val="Heading2"/>
      </w:pPr>
      <w:r>
        <w:t>2. Contracts &amp; Commercial</w:t>
      </w:r>
    </w:p>
    <w:p>
      <w:r>
        <w:rPr>
          <w:sz w:val="20"/>
        </w:rPr>
        <w:t>• SOP-LGL-010 — NDA Approval &amp; Mark-up</w:t>
      </w:r>
    </w:p>
    <w:p>
      <w:r>
        <w:rPr>
          <w:sz w:val="20"/>
        </w:rPr>
        <w:t>• SOP-LGL-011 — Long-form Commercial Agreements</w:t>
      </w:r>
    </w:p>
    <w:p>
      <w:r>
        <w:rPr>
          <w:sz w:val="20"/>
        </w:rPr>
        <w:t>• POL-LGL-201 — Delegation of Authority Matrix</w:t>
      </w:r>
    </w:p>
    <w:p>
      <w:pPr>
        <w:pStyle w:val="Heading2"/>
      </w:pPr>
      <w:r>
        <w:t>3. M&amp;A</w:t>
      </w:r>
    </w:p>
    <w:p>
      <w:r>
        <w:rPr>
          <w:sz w:val="20"/>
        </w:rPr>
        <w:t>• M&amp;A Playbook v4.0 — Deal Lifecycle (see LEG_11)</w:t>
      </w:r>
    </w:p>
    <w:p>
      <w:r>
        <w:rPr>
          <w:sz w:val="20"/>
        </w:rPr>
        <w:t>• SOP-LGL-020 — Due Diligence Standard</w:t>
      </w:r>
    </w:p>
    <w:p>
      <w:r>
        <w:rPr>
          <w:sz w:val="20"/>
        </w:rPr>
        <w:t>• SOP-LGL-021 — Material Transactions Disclosure (POJK 17/2020)</w:t>
      </w:r>
    </w:p>
    <w:p>
      <w:pPr>
        <w:pStyle w:val="Heading2"/>
      </w:pPr>
      <w:r>
        <w:t>4. Litigation</w:t>
      </w:r>
    </w:p>
    <w:p>
      <w:r>
        <w:rPr>
          <w:sz w:val="20"/>
        </w:rPr>
        <w:t>• SOP-LGL-030 — Matter Intake &amp; Triage</w:t>
      </w:r>
    </w:p>
    <w:p>
      <w:r>
        <w:rPr>
          <w:sz w:val="20"/>
        </w:rPr>
        <w:t>• SOP-LGL-031 — External Counsel Engagement</w:t>
      </w:r>
    </w:p>
    <w:p>
      <w:r>
        <w:rPr>
          <w:sz w:val="20"/>
        </w:rPr>
        <w:t>• POL-LGL-301 — Privileged Communications Protocol</w:t>
      </w:r>
    </w:p>
    <w:p>
      <w:pPr>
        <w:pStyle w:val="Heading2"/>
      </w:pPr>
      <w:r>
        <w:t>5. Regulatory &amp; Disclosure</w:t>
      </w:r>
    </w:p>
    <w:p>
      <w:r>
        <w:rPr>
          <w:sz w:val="20"/>
        </w:rPr>
        <w:t>• SOP-LGL-040 — BEI/Bursa Disclosure Drafting</w:t>
      </w:r>
    </w:p>
    <w:p>
      <w:r>
        <w:rPr>
          <w:sz w:val="20"/>
        </w:rPr>
        <w:t>• SOP-LGL-041 — Regulator Inquiry Response</w:t>
      </w:r>
    </w:p>
    <w:p>
      <w:r>
        <w:rPr>
          <w:sz w:val="20"/>
        </w:rPr>
        <w:t>• POL-LGL-401 — MAC Trigger &amp; Notification</w:t>
      </w:r>
    </w:p>
    <w:p>
      <w:pPr>
        <w:pStyle w:val="Heading2"/>
      </w:pPr>
      <w:r>
        <w:t>6. Standing Legal Authorities (curated citations)</w:t>
      </w:r>
    </w:p>
    <w:p>
      <w:r>
        <w:rPr>
          <w:sz w:val="20"/>
        </w:rPr>
        <w:t>• UU No. 3 Tahun 2020 (Minerba)</w:t>
      </w:r>
    </w:p>
    <w:p>
      <w:r>
        <w:rPr>
          <w:sz w:val="20"/>
        </w:rPr>
        <w:t>• UU No. 40 Tahun 2007 (Perseroan Terbatas)</w:t>
      </w:r>
    </w:p>
    <w:p>
      <w:r>
        <w:rPr>
          <w:sz w:val="20"/>
        </w:rPr>
        <w:t>• KUHPerdata — Pasal 1247–1248 (Ganti Rugi)</w:t>
      </w:r>
    </w:p>
    <w:p>
      <w:r>
        <w:rPr>
          <w:sz w:val="20"/>
        </w:rPr>
        <w:t>• POJK 17/2020 (Material Transactions)</w:t>
      </w:r>
    </w:p>
    <w:p>
      <w:r>
        <w:rPr>
          <w:sz w:val="20"/>
        </w:rPr>
        <w:t>• Putusan MA No. 2447 K/Pdt/2021</w:t>
      </w:r>
    </w:p>
    <w:p>
      <w:r>
        <w:rPr>
          <w:sz w:val="20"/>
        </w:rPr>
        <w:t>• Putusan MA No. 1812 K/Pdt.Sus-PHI/2023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