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Legal Memo Template — IRAC Structure</w:t>
      </w:r>
    </w:p>
    <w:p>
      <w:r>
        <w:rPr>
          <w:b/>
          <w:sz w:val="20"/>
        </w:rPr>
        <w:t>[ON LETTERHEAD] · Privileged &amp; Confidential — Attorney Work Product</w:t>
      </w:r>
    </w:p>
    <w:p>
      <w:r>
        <w:rPr>
          <w:sz w:val="20"/>
        </w:rPr>
        <w:t>TO: [Recipient Title]</w:t>
      </w:r>
    </w:p>
    <w:p>
      <w:r>
        <w:rPr>
          <w:sz w:val="20"/>
        </w:rPr>
        <w:t>FROM: [Author], [Title], Group Corporate Legal</w:t>
      </w:r>
    </w:p>
    <w:p>
      <w:r>
        <w:rPr>
          <w:sz w:val="20"/>
        </w:rPr>
        <w:t>DATE: [DD MMM YYYY]</w:t>
      </w:r>
    </w:p>
    <w:p>
      <w:r>
        <w:rPr>
          <w:sz w:val="20"/>
        </w:rPr>
        <w:t>SUBJECT: [Concise legal question]</w:t>
      </w:r>
    </w:p>
    <w:p>
      <w:pPr>
        <w:pStyle w:val="Heading2"/>
      </w:pPr>
      <w:r>
        <w:t>I. Latar Belakang</w:t>
      </w:r>
    </w:p>
    <w:p>
      <w:r>
        <w:rPr>
          <w:sz w:val="20"/>
        </w:rPr>
        <w:t>[Faktual context — 2-4 paragraphs. Cite source documents.]</w:t>
      </w:r>
    </w:p>
    <w:p>
      <w:pPr>
        <w:pStyle w:val="Heading2"/>
      </w:pPr>
      <w:r>
        <w:t>II. Pertanyaan Hukum</w:t>
      </w:r>
    </w:p>
    <w:p>
      <w:r>
        <w:rPr>
          <w:sz w:val="20"/>
        </w:rPr>
        <w:t>[Numbered list of 1-3 sharply scoped legal questions.]</w:t>
      </w:r>
    </w:p>
    <w:p>
      <w:pPr>
        <w:pStyle w:val="Heading2"/>
      </w:pPr>
      <w:r>
        <w:t>III. Analisis Hukum (IRAC)</w:t>
      </w:r>
    </w:p>
    <w:p>
      <w:r>
        <w:rPr>
          <w:sz w:val="20"/>
        </w:rPr>
        <w:t>Issue: [restate Q]</w:t>
        <w:br/>
        <w:t>Rule: [cite UU/PP/Permen/POJK/Putusan MA]</w:t>
        <w:br/>
        <w:t>Application: [apply rule to facts]</w:t>
        <w:br/>
        <w:t>Conclusion: [direct answer]</w:t>
      </w:r>
    </w:p>
    <w:p>
      <w:pPr>
        <w:pStyle w:val="Heading2"/>
      </w:pPr>
      <w:r>
        <w:t>IV. Kesimpulan</w:t>
      </w:r>
    </w:p>
    <w:p>
      <w:r>
        <w:rPr>
          <w:sz w:val="20"/>
        </w:rPr>
        <w:t>[Bullet conclusions, one per legal question.]</w:t>
      </w:r>
    </w:p>
    <w:p>
      <w:pPr>
        <w:pStyle w:val="Heading2"/>
      </w:pPr>
      <w:r>
        <w:t>V. Rekomendasi &amp; Mitigasi Risiko</w:t>
      </w:r>
    </w:p>
    <w:p>
      <w:r>
        <w:rPr>
          <w:sz w:val="20"/>
        </w:rPr>
        <w:t>[Action items + Risk Register table: Risk ID | Description | Severity | Owner | Mitigation | Deadline]</w:t>
      </w:r>
    </w:p>
    <w:p>
      <w:pPr>
        <w:pStyle w:val="Heading2"/>
      </w:pPr>
      <w:r>
        <w:t>VI. Limitasi &amp; Disclaimer</w:t>
      </w:r>
    </w:p>
    <w:p>
      <w:r>
        <w:rPr>
          <w:sz w:val="20"/>
        </w:rPr>
        <w:t>Memo ini disusun berdasarkan dokumen yang dirujuk per tanggal di atas. Setiap perubahan fakta atau regulasi setelahnya dapat mengubah kesimpulan. Tidak boleh dikutip ke luar Grup tanpa izin tertulis dari General Counsel.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