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rPr>
          <w:b/>
          <w:sz w:val="20"/>
        </w:rPr>
        <w:t>Between Pacific Resources Holdings Pte. Ltd. ("Party A") and PT Zava Mining (Persero) ("Party B")</w:t>
      </w:r>
    </w:p>
    <w:p>
      <w:pPr>
        <w:pStyle w:val="Heading2"/>
      </w:pPr>
      <w:r>
        <w:t>1. Definitions</w:t>
      </w:r>
    </w:p>
    <w:p>
      <w:r>
        <w:rPr>
          <w:sz w:val="20"/>
        </w:rPr>
        <w:t>"Confidential Information" means any non-public information disclosed by either party, in any form, marked or reasonably understood to be confidential.</w:t>
      </w:r>
    </w:p>
    <w:p>
      <w:pPr>
        <w:pStyle w:val="Heading2"/>
      </w:pPr>
      <w:r>
        <w:t>2. Scope</w:t>
      </w:r>
    </w:p>
    <w:p>
      <w:r>
        <w:rPr>
          <w:sz w:val="20"/>
        </w:rPr>
        <w:t>Each Receiving Party shall use Confidential Information solely for the purpose of evaluating a potential commercial transaction.</w:t>
      </w:r>
    </w:p>
    <w:p>
      <w:pPr>
        <w:pStyle w:val="Heading2"/>
      </w:pPr>
      <w:r>
        <w:t>3. Term</w:t>
      </w:r>
    </w:p>
    <w:p>
      <w:r>
        <w:rPr>
          <w:sz w:val="20"/>
        </w:rPr>
        <w:t>This Agreement shall remain in force for ten (10) years from the Effective Date and shall survive termination of any related transaction. [⚠ longer than Playbook standard of 3-5 years]</w:t>
      </w:r>
    </w:p>
    <w:p>
      <w:pPr>
        <w:pStyle w:val="Heading2"/>
      </w:pPr>
      <w:r>
        <w:t>4. Standard of Care</w:t>
      </w:r>
    </w:p>
    <w:p>
      <w:r>
        <w:rPr>
          <w:sz w:val="20"/>
        </w:rPr>
        <w:t>Each Receiving Party shall protect Confidential Information using the same degree of care it uses for its own confidential information, and not less than reasonable care.</w:t>
      </w:r>
    </w:p>
    <w:p>
      <w:pPr>
        <w:pStyle w:val="Heading2"/>
      </w:pPr>
      <w:r>
        <w:t>5. Indemnity</w:t>
      </w:r>
    </w:p>
    <w:p>
      <w:r>
        <w:rPr>
          <w:sz w:val="20"/>
        </w:rPr>
        <w:t>The Receiving Party shall indemnify, defend and hold harmless the Disclosing Party from any and all losses, including consequential, indirect and punitive damages, arising from any breach. [⚠ uncapped; Playbook caps at fees paid; excludes consequential damages]</w:t>
      </w:r>
    </w:p>
    <w:p>
      <w:pPr>
        <w:pStyle w:val="Heading2"/>
      </w:pPr>
      <w:r>
        <w:t>6. Governing Law &amp; Disputes</w:t>
      </w:r>
    </w:p>
    <w:p>
      <w:r>
        <w:rPr>
          <w:sz w:val="20"/>
        </w:rPr>
        <w:t>This Agreement shall be governed by the laws of Singapore. Disputes shall be resolved by SIAC arbitration in Singapore. [⚠ Playbook requires Indonesian law + SIAC seat for Indonesian counterparty exposure]</w:t>
      </w:r>
    </w:p>
    <w:p>
      <w:pPr>
        <w:pStyle w:val="Heading2"/>
      </w:pPr>
      <w:r>
        <w:t>7. Exclusivity</w:t>
      </w:r>
    </w:p>
    <w:p>
      <w:r>
        <w:rPr>
          <w:sz w:val="20"/>
        </w:rPr>
        <w:t>For the duration of this Agreement, Party B shall not solicit, negotiate or transact with any party engaged in similar business in Indonesia. [⚠ overbroad — auto-reject under Playbook §4.2]</w:t>
      </w:r>
    </w:p>
    <w:p>
      <w:pPr>
        <w:pStyle w:val="Heading2"/>
      </w:pPr>
      <w:r>
        <w:t>8. Return / Destruction</w:t>
      </w:r>
    </w:p>
    <w:p>
      <w:r>
        <w:rPr>
          <w:sz w:val="20"/>
        </w:rPr>
        <w:t>Upon written request, the Receiving Party shall destroy or return all Confidential Information within thirty (30) days.</w:t>
      </w:r>
    </w:p>
    <w:p>
      <w:pPr>
        <w:pStyle w:val="Heading2"/>
      </w:pPr>
      <w:r>
        <w:t>9. Assignment</w:t>
      </w:r>
    </w:p>
    <w:p>
      <w:r>
        <w:rPr>
          <w:sz w:val="20"/>
        </w:rPr>
        <w:t>This Agreement may be assigned by either Party to any affiliate, successor or acquirer without consent. [⚠ Playbook requires written consent]</w:t>
      </w:r>
    </w:p>
    <w:p>
      <w:pPr>
        <w:pStyle w:val="Heading2"/>
      </w:pPr>
      <w:r>
        <w:t>10. Entire Agreement</w:t>
      </w:r>
    </w:p>
    <w:p>
      <w:r>
        <w:rPr>
          <w:sz w:val="20"/>
        </w:rPr>
        <w:t>This Agreement constitutes the entire agreement between the Parties on the subject matter hereof.</w:t>
      </w:r>
    </w:p>
    <w:p>
      <w:r>
        <w:rPr>
          <w:sz w:val="20"/>
        </w:rPr>
        <w:t>[Signature blocks omitted for draft.]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