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M&amp;A Playbook v4.0 — Group Corporate Legal</w:t>
      </w:r>
    </w:p>
    <w:p>
      <w:r>
        <w:rPr>
          <w:b/>
          <w:sz w:val="20"/>
        </w:rPr>
        <w:t>Effective: 1 January 2026 · Owner: VP Corporate Legal · Classification: Internal Use Only</w:t>
      </w:r>
    </w:p>
    <w:p>
      <w:pPr>
        <w:pStyle w:val="Heading2"/>
      </w:pPr>
      <w:r>
        <w:t>§1. Purpose</w:t>
      </w:r>
    </w:p>
    <w:p>
      <w:r>
        <w:rPr>
          <w:sz w:val="20"/>
        </w:rPr>
        <w:t>Defines the standards and approval thresholds for all M&amp;A activity at Zava Group, including NDAs, term sheets, MoUs, and definitive agreements.</w:t>
      </w:r>
    </w:p>
    <w:p>
      <w:pPr>
        <w:pStyle w:val="Heading2"/>
      </w:pPr>
      <w:r>
        <w:t>§2. NDA Standards</w:t>
      </w:r>
    </w:p>
    <w:p>
      <w:r>
        <w:rPr>
          <w:sz w:val="20"/>
        </w:rPr>
        <w:t>Standard term: 3-5 years (max 7 with deal-team approval). Indemnity: capped at fees paid; consequential damages excluded. Governing law: Indonesian law for Indonesian counterparty exposure; SIAC seat optional. Return/destruction: 30 days. No exclusivity unless explicitly negotiated and approved.</w:t>
      </w:r>
    </w:p>
    <w:p>
      <w:pPr>
        <w:pStyle w:val="Heading2"/>
      </w:pPr>
      <w:r>
        <w:t>§3. Material Transaction Threshold (POJK 17/2020)</w:t>
      </w:r>
    </w:p>
    <w:p>
      <w:r>
        <w:rPr>
          <w:sz w:val="20"/>
        </w:rPr>
        <w:t>Any transaction exceeding 20% of equity triggers Material Transaction disclosure. 50%+ triggers shareholder approval.</w:t>
      </w:r>
    </w:p>
    <w:p>
      <w:pPr>
        <w:pStyle w:val="Heading2"/>
      </w:pPr>
      <w:r>
        <w:t>§4. Auto-Reject Clauses</w:t>
      </w:r>
    </w:p>
    <w:p>
      <w:r>
        <w:rPr>
          <w:sz w:val="20"/>
        </w:rPr>
        <w:t>The following counterparty terms are automatic rejections requiring renegotiation: §4.1 uncapped indemnity; §4.2 overbroad exclusivity (any non-target market); §4.3 unilateral assignment without consent; §4.4 NDA term exceeding 7 years; §4.5 governing law of an offshore jurisdiction with no nexus to either party.</w:t>
      </w:r>
    </w:p>
    <w:p>
      <w:pPr>
        <w:pStyle w:val="Heading2"/>
      </w:pPr>
      <w:r>
        <w:t>§5. Risk Register Standards</w:t>
      </w:r>
    </w:p>
    <w:p>
      <w:r>
        <w:rPr>
          <w:sz w:val="20"/>
        </w:rPr>
        <w:t>Every deal must produce a Risk Register with at least: Operational, Commercial, Regulatory, HSE, Reputational categories. Severity scale: High / Medium / Low. Owner must be named individual, not function.</w:t>
      </w:r>
    </w:p>
    <w:p>
      <w:pPr>
        <w:pStyle w:val="Heading2"/>
      </w:pPr>
      <w:r>
        <w:t>§6. Citations</w:t>
      </w:r>
    </w:p>
    <w:p>
      <w:r>
        <w:rPr>
          <w:sz w:val="20"/>
        </w:rPr>
        <w:t>KUHPerdata Pasal 1247–1248 (Ganti Rugi); UU PT 40/2007; POJK 17/2020 (Material Transactions); UU 3/2020 (Minerba) for mining-asset M&amp;A.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