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Legal Weekly Sync — Teams Meeting Transcript</w:t>
      </w:r>
    </w:p>
    <w:p>
      <w:r>
        <w:rPr>
          <w:b/>
          <w:sz w:val="20"/>
        </w:rPr>
        <w:t>Date: 12 May 2026 · 09:00–10:00 WIB · Channel: Group Corporate Legal · Transcript via Teams Recap</w:t>
      </w:r>
    </w:p>
    <w:p>
      <w:r>
        <w:rPr>
          <w:b/>
          <w:sz w:val="20"/>
        </w:rPr>
        <w:t>Attendees: Ratna Sari (VP Corporate Legal, Chair), Andi Pratama (Head of Litigation), Dewi Kusuma (Head of Commercial), Budi Santoso (Senior Counsel — M&amp;A), Linda Halim (Compliance Officer), Hadar Caspit (CFO — observer)</w:t>
      </w:r>
    </w:p>
    <w:p>
      <w:pPr>
        <w:pStyle w:val="Heading2"/>
      </w:pPr>
      <w:r>
        <w:t>Agenda</w:t>
      </w:r>
    </w:p>
    <w:p>
      <w:r>
        <w:rPr>
          <w:sz w:val="20"/>
        </w:rPr>
        <w:t>1. Permen ESDM 7/2026 — readiness review</w:t>
      </w:r>
    </w:p>
    <w:p>
      <w:r>
        <w:rPr>
          <w:sz w:val="20"/>
        </w:rPr>
        <w:t>2. Litigation portfolio Q1 2026 update (50 cases across 6 subsidiaries)</w:t>
      </w:r>
    </w:p>
    <w:p>
      <w:r>
        <w:rPr>
          <w:sz w:val="20"/>
        </w:rPr>
        <w:t>3. NDA backlog with Pacific Resources counterparty</w:t>
      </w:r>
    </w:p>
    <w:p>
      <w:r>
        <w:rPr>
          <w:sz w:val="20"/>
        </w:rPr>
        <w:t>4. M&amp;A pipeline — 3 active deals</w:t>
      </w:r>
    </w:p>
    <w:p>
      <w:r>
        <w:rPr>
          <w:sz w:val="20"/>
        </w:rPr>
        <w:t>5. BEI inquiry response status</w:t>
      </w:r>
    </w:p>
    <w:p>
      <w:r>
        <w:rPr>
          <w:sz w:val="20"/>
        </w:rPr>
        <w:t>6. Open action items review</w:t>
      </w:r>
    </w:p>
    <w:p>
      <w:pPr>
        <w:pStyle w:val="Heading2"/>
      </w:pPr>
      <w:r>
        <w:t>Discussion Highlights</w:t>
      </w:r>
    </w:p>
    <w:p>
      <w:r>
        <w:rPr>
          <w:sz w:val="20"/>
        </w:rPr>
        <w:t>• Ratna: "Permen ESDM 7 mulai berlaku 1 Juli. Kita perlu legal memo IRAC final ke Direktur Utama dalam 10 hari."</w:t>
      </w:r>
    </w:p>
    <w:p>
      <w:r>
        <w:rPr>
          <w:sz w:val="20"/>
        </w:rPr>
        <w:t>• Andi: "Litigation portfolio Q1 menunjukkan win rate 58% — turun dari 62% di Q4 2025. Driver utamanya adalah kasus sengketa pertanahan di Kaltim."</w:t>
      </w:r>
    </w:p>
    <w:p>
      <w:r>
        <w:rPr>
          <w:sz w:val="20"/>
        </w:rPr>
        <w:t>• Budi: "NDA Pacific Resources punya 5 red flag — saya menargetkan mark-up + email pengantar bilingual besok."</w:t>
      </w:r>
    </w:p>
    <w:p>
      <w:r>
        <w:rPr>
          <w:sz w:val="20"/>
        </w:rPr>
        <w:t>• Dewi: "M&amp;A pipeline punya 3 deal aktif. Material Transactions Threshold di POJK 17/2020 tersentuh oleh deal #2."</w:t>
      </w:r>
    </w:p>
    <w:p>
      <w:r>
        <w:rPr>
          <w:sz w:val="20"/>
        </w:rPr>
        <w:t>• Linda: "BEI request klarifikasi sudah dijawab. Tinggal monitoring."</w:t>
      </w:r>
    </w:p>
    <w:p>
      <w:r>
        <w:rPr>
          <w:sz w:val="20"/>
        </w:rPr>
        <w:t>• Hadar: "Saya perlu Executive Legal Dashboard tiap kuartal — bukan tahunan. Format HTML self-contained untuk Direktur Utama."</w:t>
      </w:r>
    </w:p>
    <w:p>
      <w:pPr>
        <w:pStyle w:val="Heading2"/>
      </w:pPr>
      <w:r>
        <w:t>Action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</w:tr>
      <w:tr>
        <w:tc>
          <w:tcPr>
            <w:tcW w:type="dxa" w:w="2160"/>
          </w:tcPr>
          <w:p>
            <w:r>
              <w:t>A1</w:t>
            </w:r>
          </w:p>
        </w:tc>
        <w:tc>
          <w:tcPr>
            <w:tcW w:type="dxa" w:w="2160"/>
          </w:tcPr>
          <w:p>
            <w:r>
              <w:t>Finalise Legal Memo on Permen ESDM 7/2026 (IRAC, 1.5 pages)</w:t>
            </w:r>
          </w:p>
        </w:tc>
        <w:tc>
          <w:tcPr>
            <w:tcW w:type="dxa" w:w="2160"/>
          </w:tcPr>
          <w:p>
            <w:r>
              <w:t>Ratna Sari</w:t>
            </w:r>
          </w:p>
        </w:tc>
        <w:tc>
          <w:tcPr>
            <w:tcW w:type="dxa" w:w="2160"/>
          </w:tcPr>
          <w:p>
            <w:r>
              <w:t>22 May 2026</w:t>
            </w:r>
          </w:p>
        </w:tc>
      </w:tr>
      <w:tr>
        <w:tc>
          <w:tcPr>
            <w:tcW w:type="dxa" w:w="2160"/>
          </w:tcPr>
          <w:p>
            <w:r>
              <w:t>A2</w:t>
            </w:r>
          </w:p>
        </w:tc>
        <w:tc>
          <w:tcPr>
            <w:tcW w:type="dxa" w:w="2160"/>
          </w:tcPr>
          <w:p>
            <w:r>
              <w:t>Submit NDA mark-up + bilingual cover email to Pacific Resources</w:t>
            </w:r>
          </w:p>
        </w:tc>
        <w:tc>
          <w:tcPr>
            <w:tcW w:type="dxa" w:w="2160"/>
          </w:tcPr>
          <w:p>
            <w:r>
              <w:t>Budi Santoso</w:t>
            </w:r>
          </w:p>
        </w:tc>
        <w:tc>
          <w:tcPr>
            <w:tcW w:type="dxa" w:w="2160"/>
          </w:tcPr>
          <w:p>
            <w:r>
              <w:t>15 May 2026</w:t>
            </w:r>
          </w:p>
        </w:tc>
      </w:tr>
      <w:tr>
        <w:tc>
          <w:tcPr>
            <w:tcW w:type="dxa" w:w="2160"/>
          </w:tcPr>
          <w:p>
            <w:r>
              <w:t>A3</w:t>
            </w:r>
          </w:p>
        </w:tc>
        <w:tc>
          <w:tcPr>
            <w:tcW w:type="dxa" w:w="2160"/>
          </w:tcPr>
          <w:p>
            <w:r>
              <w:t>Reach out to ESDM for clarification on Article 21 reclamation top-up bond</w:t>
            </w:r>
          </w:p>
        </w:tc>
        <w:tc>
          <w:tcPr>
            <w:tcW w:type="dxa" w:w="2160"/>
          </w:tcPr>
          <w:p>
            <w:r>
              <w:t>Linda Halim</w:t>
            </w:r>
          </w:p>
        </w:tc>
        <w:tc>
          <w:tcPr>
            <w:tcW w:type="dxa" w:w="2160"/>
          </w:tcPr>
          <w:p>
            <w:r>
              <w:t>20 May 2026</w:t>
            </w:r>
          </w:p>
        </w:tc>
      </w:tr>
      <w:tr>
        <w:tc>
          <w:tcPr>
            <w:tcW w:type="dxa" w:w="2160"/>
          </w:tcPr>
          <w:p>
            <w:r>
              <w:t>A4</w:t>
            </w:r>
          </w:p>
        </w:tc>
        <w:tc>
          <w:tcPr>
            <w:tcW w:type="dxa" w:w="2160"/>
          </w:tcPr>
          <w:p>
            <w:r>
              <w:t>Litigation Q1 root-cause analysis — top 3 drivers + 6 preventive actions</w:t>
            </w:r>
          </w:p>
        </w:tc>
        <w:tc>
          <w:tcPr>
            <w:tcW w:type="dxa" w:w="2160"/>
          </w:tcPr>
          <w:p>
            <w:r>
              <w:t>Andi Pratama</w:t>
            </w:r>
          </w:p>
        </w:tc>
        <w:tc>
          <w:tcPr>
            <w:tcW w:type="dxa" w:w="2160"/>
          </w:tcPr>
          <w:p>
            <w:r>
              <w:t>25 May 2026</w:t>
            </w:r>
          </w:p>
        </w:tc>
      </w:tr>
      <w:tr>
        <w:tc>
          <w:tcPr>
            <w:tcW w:type="dxa" w:w="2160"/>
          </w:tcPr>
          <w:p>
            <w:r>
              <w:t>A5</w:t>
            </w:r>
          </w:p>
        </w:tc>
        <w:tc>
          <w:tcPr>
            <w:tcW w:type="dxa" w:w="2160"/>
          </w:tcPr>
          <w:p>
            <w:r>
              <w:t>Build Executive Legal Dashboard (HTML, self-contained) for Group MD</w:t>
            </w:r>
          </w:p>
        </w:tc>
        <w:tc>
          <w:tcPr>
            <w:tcW w:type="dxa" w:w="2160"/>
          </w:tcPr>
          <w:p>
            <w:r>
              <w:t>Ratna Sari</w:t>
            </w:r>
          </w:p>
        </w:tc>
        <w:tc>
          <w:tcPr>
            <w:tcW w:type="dxa" w:w="2160"/>
          </w:tcPr>
          <w:p>
            <w:r>
              <w:t>28 May 2026</w:t>
            </w:r>
          </w:p>
        </w:tc>
      </w:tr>
      <w:tr>
        <w:tc>
          <w:tcPr>
            <w:tcW w:type="dxa" w:w="2160"/>
          </w:tcPr>
          <w:p>
            <w:r>
              <w:t>A6</w:t>
            </w:r>
          </w:p>
        </w:tc>
        <w:tc>
          <w:tcPr>
            <w:tcW w:type="dxa" w:w="2160"/>
          </w:tcPr>
          <w:p>
            <w:r>
              <w:t>M&amp;A Playbook v4.0 — refresh §4 Auto-Reject list with new counterparty patterns</w:t>
            </w:r>
          </w:p>
        </w:tc>
        <w:tc>
          <w:tcPr>
            <w:tcW w:type="dxa" w:w="2160"/>
          </w:tcPr>
          <w:p>
            <w:r>
              <w:t>Budi Santoso</w:t>
            </w:r>
          </w:p>
        </w:tc>
        <w:tc>
          <w:tcPr>
            <w:tcW w:type="dxa" w:w="2160"/>
          </w:tcPr>
          <w:p>
            <w:r>
              <w:t>5 June 2026</w:t>
            </w:r>
          </w:p>
        </w:tc>
      </w:tr>
      <w:tr>
        <w:tc>
          <w:tcPr>
            <w:tcW w:type="dxa" w:w="2160"/>
          </w:tcPr>
          <w:p>
            <w:r>
              <w:t>A7</w:t>
            </w:r>
          </w:p>
        </w:tc>
        <w:tc>
          <w:tcPr>
            <w:tcW w:type="dxa" w:w="2160"/>
          </w:tcPr>
          <w:p>
            <w:r>
              <w:t>Onboard "Group Legal Counsel" agent (Agent Builder, no-code)</w:t>
            </w:r>
          </w:p>
        </w:tc>
        <w:tc>
          <w:tcPr>
            <w:tcW w:type="dxa" w:w="2160"/>
          </w:tcPr>
          <w:p>
            <w:r>
              <w:t>Ratna Sari</w:t>
            </w:r>
          </w:p>
        </w:tc>
        <w:tc>
          <w:tcPr>
            <w:tcW w:type="dxa" w:w="2160"/>
          </w:tcPr>
          <w:p>
            <w:r>
              <w:t>10 June 2026</w:t>
            </w:r>
          </w:p>
        </w:tc>
      </w:tr>
    </w:tbl>
    <w:p>
      <w:r>
        <w:rPr>
          <w:sz w:val="20"/>
        </w:rPr>
        <w:t>— End of transcript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