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5C2E"/>
        </w:rPr>
        <w:t>Zava Plantation</w:t>
      </w:r>
    </w:p>
    <w:p>
      <w:pPr>
        <w:pStyle w:val="Heading2"/>
      </w:pPr>
      <w:r>
        <w:rPr>
          <w:color w:val="1F5C2E"/>
        </w:rPr>
        <w:t>Q1 2025 Group Operations Report</w:t>
      </w:r>
    </w:p>
    <w:p>
      <w:r>
        <w:rPr>
          <w:b w:val="0"/>
        </w:rPr>
        <w:t>Confidential | For Internal Use &amp; Board Review Only | April 2025</w:t>
      </w:r>
    </w:p>
    <w:p/>
    <w:p>
      <w:pPr>
        <w:pStyle w:val="Heading1"/>
      </w:pPr>
      <w:r>
        <w:rPr>
          <w:color w:val="1F5C2E"/>
        </w:rPr>
        <w:t>1. Executive Summary</w:t>
      </w:r>
    </w:p>
    <w:p>
      <w:r>
        <w:rPr>
          <w:b w:val="0"/>
        </w:rPr>
        <w:t>Zava Plantation delivered a mixed performance in Q1 2025. Group revenue reached MYR 2.1 billion, up 4.2% year-on-year, driven by strong CPO prices averaging MYR 4,250 per tonne. However, yield performance varied significantly across divisions, with Sumatra estates underperforming against OER targets.</w:t>
      </w:r>
    </w:p>
    <w:p/>
    <w:p>
      <w:r>
        <w:rPr>
          <w:b/>
        </w:rPr>
        <w:t>Key Highlights:</w:t>
      </w:r>
    </w:p>
    <w:p>
      <w:pPr>
        <w:pStyle w:val="ListBullet"/>
      </w:pPr>
      <w:r>
        <w:t>Group CPO production: 16,600 tonnes (Q1 2025), -2.1% vs Q1 2024</w:t>
      </w:r>
    </w:p>
    <w:p>
      <w:pPr>
        <w:pStyle w:val="ListBullet"/>
      </w:pPr>
      <w:r>
        <w:t>Malaysia division OER: 19.6% average — 2 estates in Pahang below target</w:t>
      </w:r>
    </w:p>
    <w:p>
      <w:pPr>
        <w:pStyle w:val="ListBullet"/>
      </w:pPr>
      <w:r>
        <w:t>Indonesia division OER: 18.9% — Simalungun Estate flagged as CRITICAL at 17.6%</w:t>
      </w:r>
    </w:p>
    <w:p>
      <w:pPr>
        <w:pStyle w:val="ListBullet"/>
      </w:pPr>
      <w:r>
        <w:t>Liberia division: On track, OER at 19.8%, weather conditions favourable</w:t>
      </w:r>
    </w:p>
    <w:p>
      <w:pPr>
        <w:pStyle w:val="ListBullet"/>
      </w:pPr>
      <w:r>
        <w:t>Manufacturing (Oleochemicals): Revenue MYR 680M, operating margin 14.2%</w:t>
      </w:r>
    </w:p>
    <w:p>
      <w:pPr>
        <w:pStyle w:val="ListBullet"/>
      </w:pPr>
      <w:r>
        <w:t>Property division: MYR 180M billings, 89% take-up rate at Zava Heights</w:t>
      </w:r>
    </w:p>
    <w:p/>
    <w:p>
      <w:pPr>
        <w:pStyle w:val="Heading1"/>
      </w:pPr>
      <w:r>
        <w:rPr>
          <w:color w:val="1F5C2E"/>
        </w:rPr>
        <w:t>2. Plantation Division Performance</w:t>
      </w:r>
    </w:p>
    <w:p>
      <w:pPr>
        <w:pStyle w:val="Heading2"/>
      </w:pPr>
      <w:r>
        <w:rPr>
          <w:color w:val="1F5C2E"/>
        </w:rPr>
        <w:t>2.1 Malaysia Operations</w:t>
      </w:r>
    </w:p>
    <w:p>
      <w:r>
        <w:rPr>
          <w:b w:val="0"/>
        </w:rPr>
        <w:t>The Malaysia plantation division manages a total of 10,600 mature hectares across Sabah, Pahang, and Perak. Q1 FFB production totalled 43,235 tonnes.</w:t>
      </w:r>
    </w:p>
    <w:p/>
    <w:p>
      <w:r>
        <w:rPr>
          <w:b/>
        </w:rPr>
        <w:t>Sabah Region:</w:t>
      </w:r>
    </w:p>
    <w:p>
      <w:pPr>
        <w:pStyle w:val="ListBullet"/>
      </w:pPr>
      <w:r>
        <w:t>Lahad Datu Estate remains the highest performer: OER 21.3%, FFB/ha 16.25</w:t>
      </w:r>
    </w:p>
    <w:p>
      <w:pPr>
        <w:pStyle w:val="ListBullet"/>
      </w:pPr>
      <w:r>
        <w:t>Kinabatangan Estate on target at 20.8% OER in March</w:t>
      </w:r>
    </w:p>
    <w:p>
      <w:pPr>
        <w:pStyle w:val="ListBullet"/>
      </w:pPr>
      <w:r>
        <w:t>Sandakan Estate: OER 17.9% in February — below 18% threshold; corrective harvesting schedule implemented</w:t>
      </w:r>
    </w:p>
    <w:p/>
    <w:p>
      <w:r>
        <w:rPr>
          <w:b/>
        </w:rPr>
        <w:t>Pahang Region:</w:t>
      </w:r>
    </w:p>
    <w:p>
      <w:pPr>
        <w:pStyle w:val="ListBullet"/>
      </w:pPr>
      <w:r>
        <w:t>Temerloh Estate: CRITICAL status — OER averaging 17.5% across Q1; root cause identified as labour shortage and suboptimal harvest rotation</w:t>
      </w:r>
    </w:p>
    <w:p>
      <w:pPr>
        <w:pStyle w:val="ListBullet"/>
      </w:pPr>
      <w:r>
        <w:t>Recommended action: Increase harvesting crew by 15%, revise crop census cycle to every 10 days</w:t>
      </w:r>
    </w:p>
    <w:p>
      <w:pPr>
        <w:pStyle w:val="ListBullet"/>
      </w:pPr>
      <w:r>
        <w:t>Raub Estate: Recovering — OER back to 19.0% in March after weather disruption in February</w:t>
      </w:r>
    </w:p>
    <w:p/>
    <w:p>
      <w:r>
        <w:rPr>
          <w:b/>
        </w:rPr>
        <w:t>Perak Region:</w:t>
      </w:r>
    </w:p>
    <w:p>
      <w:pPr>
        <w:pStyle w:val="ListBullet"/>
      </w:pPr>
      <w:r>
        <w:t>Teluk Intan Estate: Consistently above 20% OER; best practice model for other estates</w:t>
      </w:r>
    </w:p>
    <w:p/>
    <w:p>
      <w:pPr>
        <w:pStyle w:val="Heading2"/>
      </w:pPr>
      <w:r>
        <w:rPr>
          <w:color w:val="1F5C2E"/>
        </w:rPr>
        <w:t>2.2 Indonesia Operations (North Sumatra)</w:t>
      </w:r>
    </w:p>
    <w:p>
      <w:r>
        <w:rPr>
          <w:b w:val="0"/>
        </w:rPr>
        <w:t>Three estates operating in North Sumatra with a combined 9,400 mature hectares. Total Q1 FFB: 34,500 tonnes.</w:t>
      </w:r>
    </w:p>
    <w:p>
      <w:pPr>
        <w:pStyle w:val="ListBullet"/>
      </w:pPr>
      <w:r>
        <w:t>Deli Serdang Estate: Top performer at 20.7% OER — exceeds regional target</w:t>
      </w:r>
    </w:p>
    <w:p>
      <w:pPr>
        <w:pStyle w:val="ListBullet"/>
      </w:pPr>
      <w:r>
        <w:t>Asahan Estate: Below target at 18.4%; agronomy review initiated for soil nutrient management</w:t>
      </w:r>
    </w:p>
    <w:p>
      <w:pPr>
        <w:pStyle w:val="ListBullet"/>
      </w:pPr>
      <w:r>
        <w:t>Simalungun Estate: CRITICAL — OER averaging 17.6% across Q1; new estate manager appointed effective April 2025</w:t>
      </w:r>
    </w:p>
    <w:p>
      <w:pPr>
        <w:pStyle w:val="ListBullet"/>
      </w:pPr>
      <w:r>
        <w:t>Key challenge: Rising fertiliser costs (+12% YoY) impacting cost per tonne of CPO</w:t>
      </w:r>
    </w:p>
    <w:p/>
    <w:p>
      <w:pPr>
        <w:pStyle w:val="Heading2"/>
      </w:pPr>
      <w:r>
        <w:rPr>
          <w:color w:val="1F5C2E"/>
        </w:rPr>
        <w:t>2.3 Liberia Operations</w:t>
      </w:r>
    </w:p>
    <w:p>
      <w:r>
        <w:rPr>
          <w:b w:val="0"/>
        </w:rPr>
        <w:t>One estate operating in Montserrado with 2,200 mature hectares. Q1 FFB: 8,350 tonnes.</w:t>
      </w:r>
    </w:p>
    <w:p>
      <w:pPr>
        <w:pStyle w:val="ListBullet"/>
      </w:pPr>
      <w:r>
        <w:t>Monrovia Estate: On track — OER at 19.8%, targeting 20.5% by Q3 as new palms reach peak maturity</w:t>
      </w:r>
    </w:p>
    <w:p>
      <w:pPr>
        <w:pStyle w:val="ListBullet"/>
      </w:pPr>
      <w:r>
        <w:t>RSPO certification audit scheduled for June 2025 — documentation preparation underway</w:t>
      </w:r>
    </w:p>
    <w:p>
      <w:pPr>
        <w:pStyle w:val="ListBullet"/>
      </w:pPr>
      <w:r>
        <w:t>Infrastructure investment: MYR 4.2M approved for new palm oil mini-mill (commissioning Q3 2025)</w:t>
      </w:r>
    </w:p>
    <w:p/>
    <w:p>
      <w:pPr>
        <w:pStyle w:val="Heading1"/>
      </w:pPr>
      <w:r>
        <w:rPr>
          <w:color w:val="1F5C2E"/>
        </w:rPr>
        <w:t>3. Q1 Operations Review — Meeting Notes (For Teams Recap Demo)</w:t>
      </w:r>
    </w:p>
    <w:p>
      <w:r>
        <w:rPr>
          <w:b w:val="0"/>
        </w:rPr>
        <w:t>[TRANSCRIPT — Zava Plantation Q1 Operations Review Meeting | 15 March 2025 | Teams Recording]</w:t>
      </w:r>
    </w:p>
    <w:p/>
    <w:p>
      <w:r>
        <w:rPr>
          <w:b w:val="0"/>
        </w:rPr>
        <w:t>Attendees: Dato Ahmad Razali (CEO), Lim Siew Ling (COO), Raj Kumar (Head of Plantation - Malaysia), Amir Hamzah (Head of Plantation - Indonesia), Sarah Abdullah (Sustainability Manager), David Tan (CFO)</w:t>
      </w:r>
    </w:p>
    <w:p/>
    <w:p>
      <w:r>
        <w:rPr>
          <w:b w:val="0"/>
        </w:rPr>
        <w:t>AGENDA ITEM 1 — Q1 Yield Performance Review</w:t>
      </w:r>
    </w:p>
    <w:p>
      <w:r>
        <w:rPr>
          <w:b w:val="0"/>
        </w:rPr>
        <w:t>Ahmad: Let's start with the yield numbers. Raj, can you walk us through Malaysia performance?</w:t>
      </w:r>
    </w:p>
    <w:p>
      <w:r>
        <w:rPr>
          <w:b w:val="0"/>
        </w:rPr>
        <w:t>Raj: Overall Q1 is mixed. Sabah is doing well — Lahad Datu at 21.3%, Kinabatangan steady. The problem is Pahang. Temerloh is at 17.5% average — that's three months in a row below threshold. We've identified the root cause as a labour rotation issue combined with the wet season.</w:t>
      </w:r>
    </w:p>
    <w:p>
      <w:r>
        <w:rPr>
          <w:b w:val="0"/>
        </w:rPr>
        <w:t>Ahmad: What's the action plan?</w:t>
      </w:r>
    </w:p>
    <w:p>
      <w:r>
        <w:rPr>
          <w:b w:val="0"/>
        </w:rPr>
        <w:t>Raj: We're adding 15 additional harvesters effective 1 April, revising the harvest rotation to 10-day cycles, and I'll personally visit the estate on 20 March for a ground inspection.</w:t>
      </w:r>
    </w:p>
    <w:p>
      <w:r>
        <w:rPr>
          <w:b w:val="0"/>
        </w:rPr>
        <w:t>Ahmad: Good. Amir, Indonesia?</w:t>
      </w:r>
    </w:p>
    <w:p>
      <w:r>
        <w:rPr>
          <w:b w:val="0"/>
        </w:rPr>
        <w:t>Amir: Deli Serdang continues to be our best performer at 20.7%. I'm proud of that team. But Simalungun is a concern — 17.6% OER. The previous estate manager left in February and we had a gap. New manager starts Monday. I expect recovery by Q2.</w:t>
      </w:r>
    </w:p>
    <w:p/>
    <w:p>
      <w:r>
        <w:rPr>
          <w:b w:val="0"/>
        </w:rPr>
        <w:t>AGENDA ITEM 2 — Sustainability Update</w:t>
      </w:r>
    </w:p>
    <w:p>
      <w:r>
        <w:rPr>
          <w:b w:val="0"/>
        </w:rPr>
        <w:t>Sarah: RSPO audit for Liberia is on track for June. Main gap is traceability documentation — we need estate-level GPS boundary data for all plots. I need Raj and Amir to submit updated maps by end of April.</w:t>
      </w:r>
    </w:p>
    <w:p>
      <w:r>
        <w:rPr>
          <w:b w:val="0"/>
        </w:rPr>
        <w:t>Ahmad: Mark that as action item. Also, EUDR — where are we?</w:t>
      </w:r>
    </w:p>
    <w:p>
      <w:r>
        <w:rPr>
          <w:b w:val="0"/>
        </w:rPr>
        <w:t>Sarah: We've engaged a consultant. The main challenge is proving deforestation-free supply chain for all our FFB suppliers. We're targeting full compliance by December 2025. It's going to require significant documentation work.</w:t>
      </w:r>
    </w:p>
    <w:p/>
    <w:p>
      <w:r>
        <w:rPr>
          <w:b w:val="0"/>
        </w:rPr>
        <w:t>AGENDA ITEM 3 — Financial Performance</w:t>
      </w:r>
    </w:p>
    <w:p>
      <w:r>
        <w:rPr>
          <w:b w:val="0"/>
        </w:rPr>
        <w:t>David: Revenue is MYR 2.1B, up 4.2% YoY. CPO prices are holding well at MYR 4,250/tonne. Manufacturing margins are healthy at 14.2%. The concern is Sumatra cost per tonne — it's up 8% due to fertiliser and labour cost inflation.</w:t>
      </w:r>
    </w:p>
    <w:p>
      <w:r>
        <w:rPr>
          <w:b w:val="0"/>
        </w:rPr>
        <w:t>Ahmad: We need to offset that with yield improvement. Amir, that needs to be your focus for Q2.</w:t>
      </w:r>
    </w:p>
    <w:p/>
    <w:p>
      <w:r>
        <w:rPr>
          <w:b w:val="0"/>
        </w:rPr>
        <w:t>ACTION ITEMS SUMMARY:</w:t>
      </w:r>
    </w:p>
    <w:p>
      <w:pPr>
        <w:pStyle w:val="ListBullet"/>
      </w:pPr>
      <w:r>
        <w:t>Raj Kumar — Increase Temerloh harvesting crew by 15% — Deadline: 1 April 2025</w:t>
      </w:r>
    </w:p>
    <w:p>
      <w:pPr>
        <w:pStyle w:val="ListBullet"/>
      </w:pPr>
      <w:r>
        <w:t>Raj Kumar &amp; Amir Hamzah — Submit updated GPS estate boundary maps for RSPO — Deadline: 30 April 2025</w:t>
      </w:r>
    </w:p>
    <w:p>
      <w:pPr>
        <w:pStyle w:val="ListBullet"/>
      </w:pPr>
      <w:r>
        <w:t>Amir Hamzah — Simalungun estate recovery plan — Deadline: 30 April 2025</w:t>
      </w:r>
    </w:p>
    <w:p>
      <w:pPr>
        <w:pStyle w:val="ListBullet"/>
      </w:pPr>
      <w:r>
        <w:t>Sarah Abdullah — Engage EUDR consultant for full compliance plan — Deadline: 15 April 2025</w:t>
      </w:r>
    </w:p>
    <w:p>
      <w:pPr>
        <w:pStyle w:val="ListBullet"/>
      </w:pPr>
      <w:r>
        <w:t>David Tan — Submit revised Q2 cost forecast factoring in fertiliser increases — Deadline: 10 April 2025</w:t>
      </w:r>
    </w:p>
    <w:p>
      <w:r>
        <w:rPr>
          <w:b w:val="0"/>
        </w:rPr>
        <w:t>Next Meeting: 16 April 2025, 10:00 AM via Teams</w:t>
      </w:r>
    </w:p>
    <w:p/>
    <w:p>
      <w:pPr>
        <w:pStyle w:val="Heading1"/>
      </w:pPr>
      <w:r>
        <w:rPr>
          <w:color w:val="1F5C2E"/>
        </w:rPr>
        <w:t>4. Manufacturing Division — Oleochemicals</w:t>
      </w:r>
    </w:p>
    <w:p>
      <w:r>
        <w:rPr>
          <w:b w:val="0"/>
        </w:rPr>
        <w:t>Zava Plantation's oleochemical manufacturing arm produced revenue of MYR 680 million in Q1 2025, representing 32% of group revenue. Operating margin improved to 14.2% (Q1 2024: 13.1%) driven by product mix optimisation and higher fatty acid demand from European personal care customers.</w:t>
      </w:r>
    </w:p>
    <w:p>
      <w:pPr>
        <w:pStyle w:val="ListBullet"/>
      </w:pPr>
      <w:r>
        <w:t>Key products: Fatty acids, glycerine, methyl esters, fatty alcohols</w:t>
      </w:r>
    </w:p>
    <w:p>
      <w:pPr>
        <w:pStyle w:val="ListBullet"/>
      </w:pPr>
      <w:r>
        <w:t>Key markets: Europe (42%), Asia Pacific (35%), Middle East &amp; Americas (23%)</w:t>
      </w:r>
    </w:p>
    <w:p>
      <w:pPr>
        <w:pStyle w:val="ListBullet"/>
      </w:pPr>
      <w:r>
        <w:t>New capacity: Phase 2 plant expansion in Klang underway — commissioning target Q4 2025</w:t>
      </w:r>
    </w:p>
    <w:p>
      <w:pPr>
        <w:pStyle w:val="ListBullet"/>
      </w:pPr>
      <w:r>
        <w:t>Sustainability milestone: 85% of oleochemical inputs sourced from RSPO-certified palm oil</w:t>
      </w:r>
    </w:p>
    <w:p/>
    <w:p>
      <w:pPr>
        <w:pStyle w:val="Heading1"/>
      </w:pPr>
      <w:r>
        <w:rPr>
          <w:color w:val="1F5C2E"/>
        </w:rPr>
        <w:t>5. Property Division — KLK Land</w:t>
      </w:r>
    </w:p>
    <w:p>
      <w:r>
        <w:rPr>
          <w:b w:val="0"/>
        </w:rPr>
        <w:t>The property division recorded billings of MYR 180 million in Q1 2025, with strong demand for landed residential products in Perak and Selangor.</w:t>
      </w:r>
    </w:p>
    <w:p>
      <w:pPr>
        <w:pStyle w:val="ListBullet"/>
      </w:pPr>
      <w:r>
        <w:t>Zava Heights: 89% take-up, final 48 units launched in March 2025</w:t>
      </w:r>
    </w:p>
    <w:p>
      <w:pPr>
        <w:pStyle w:val="ListBullet"/>
      </w:pPr>
      <w:r>
        <w:t>Zava Residences Shah Alam: New launch — 120 units, 60% sold within 2 weeks</w:t>
      </w:r>
    </w:p>
    <w:p>
      <w:pPr>
        <w:pStyle w:val="ListBullet"/>
      </w:pPr>
      <w:r>
        <w:t>Land bank: 2,400 acres of developable land across Perak, Selangor, and Johor</w:t>
      </w:r>
    </w:p>
    <w:p>
      <w:pPr>
        <w:pStyle w:val="ListBullet"/>
      </w:pPr>
      <w:r>
        <w:t>GDV pipeline: MYR 3.8 billion over 5 years</w:t>
      </w:r>
    </w:p>
    <w:p/>
    <w:p>
      <w:pPr>
        <w:pStyle w:val="Heading1"/>
      </w:pPr>
      <w:r>
        <w:rPr>
          <w:color w:val="1F5C2E"/>
        </w:rPr>
        <w:t>6. Sustainability &amp; ESG Update</w:t>
      </w:r>
    </w:p>
    <w:p>
      <w:pPr>
        <w:pStyle w:val="ListBullet"/>
      </w:pPr>
      <w:r>
        <w:t>MSPO certification: 100% of Malaysia estates certified; Indonesia target by Q3 2025</w:t>
      </w:r>
    </w:p>
    <w:p>
      <w:pPr>
        <w:pStyle w:val="ListBullet"/>
      </w:pPr>
      <w:r>
        <w:t>RSPO: 78% of plantation area certified; Liberia audit in June 2025</w:t>
      </w:r>
    </w:p>
    <w:p>
      <w:pPr>
        <w:pStyle w:val="ListBullet"/>
      </w:pPr>
      <w:r>
        <w:t>Zero Burning Policy: Full compliance across all geographies</w:t>
      </w:r>
    </w:p>
    <w:p>
      <w:pPr>
        <w:pStyle w:val="ListBullet"/>
      </w:pPr>
      <w:r>
        <w:t>Carbon footprint: Group carbon intensity reduced 3.2% YoY</w:t>
      </w:r>
    </w:p>
    <w:p>
      <w:pPr>
        <w:pStyle w:val="ListBullet"/>
      </w:pPr>
      <w:r>
        <w:t>EUDR compliance: Project initiated; full supply chain traceability by December 2025</w:t>
      </w:r>
    </w:p>
    <w:p>
      <w:pPr>
        <w:pStyle w:val="ListBullet"/>
      </w:pPr>
      <w:r>
        <w:t>Social: 2,400 estate workers benefited from COLA increase effective 1 January 2025</w:t>
      </w:r>
    </w:p>
    <w:p/>
    <w:p>
      <w:pPr>
        <w:pStyle w:val="Heading1"/>
      </w:pPr>
      <w:r>
        <w:rPr>
          <w:color w:val="1F5C2E"/>
        </w:rPr>
        <w:t>7. Q2 2025 Outlook &amp; Key Priorities</w:t>
      </w:r>
    </w:p>
    <w:p>
      <w:pPr>
        <w:pStyle w:val="ListBullet"/>
      </w:pPr>
      <w:r>
        <w:t>CPO price assumption: MYR 4,100-4,400/tonne (stable outlook based on current supply-demand)</w:t>
      </w:r>
    </w:p>
    <w:p>
      <w:pPr>
        <w:pStyle w:val="ListBullet"/>
      </w:pPr>
      <w:r>
        <w:t>Yield recovery target: Malaysia OER to exceed 20.0% by end of Q2</w:t>
      </w:r>
    </w:p>
    <w:p>
      <w:pPr>
        <w:pStyle w:val="ListBullet"/>
      </w:pPr>
      <w:r>
        <w:t>Indonesia focus: Simalungun Estate OER to recover to 19.0% by June 2025</w:t>
      </w:r>
    </w:p>
    <w:p>
      <w:pPr>
        <w:pStyle w:val="ListBullet"/>
      </w:pPr>
      <w:r>
        <w:t>Manufacturing: Phase 2 expansion capex on track; no supply disruption expected</w:t>
      </w:r>
    </w:p>
    <w:p>
      <w:pPr>
        <w:pStyle w:val="ListBullet"/>
      </w:pPr>
      <w:r>
        <w:t>Property: Target MYR 200M billings in Q2 from new launches</w:t>
      </w:r>
    </w:p>
    <w:p>
      <w:pPr>
        <w:pStyle w:val="ListBullet"/>
      </w:pPr>
      <w:r>
        <w:t>Sustainability: Submit EUDR traceability documentation framework to Board by April 30</w:t>
      </w:r>
    </w:p>
    <w:p>
      <w:pPr>
        <w:pStyle w:val="ListBullet"/>
      </w:pPr>
      <w:r>
        <w:t>Digital: Evaluate M365 Copilot pilot for estate operations and finance team (10 users, 3 months)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