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4785"/>
        </w:rPr>
        <w:t>Zava Property Development</w:t>
      </w:r>
    </w:p>
    <w:p>
      <w:pPr>
        <w:pStyle w:val="Heading2"/>
      </w:pPr>
      <w:r>
        <w:t>Q1 Sales &amp; Project Review Meeting — Minutes</w:t>
      </w:r>
    </w:p>
    <w:p>
      <w:r>
        <w:rPr>
          <w:b w:val="0"/>
          <w:i w:val="0"/>
        </w:rPr>
        <w:t>Date: Tuesday, 22 April 2025 | 10:00 AM – 12:30 PM</w:t>
      </w:r>
    </w:p>
    <w:p>
      <w:r>
        <w:rPr>
          <w:b w:val="0"/>
          <w:i w:val="0"/>
        </w:rPr>
        <w:t>Venue: Level 18 Boardroom, Menara Zava, Putrajaya</w:t>
      </w:r>
    </w:p>
    <w:p>
      <w:r>
        <w:rPr>
          <w:b w:val="0"/>
          <w:i w:val="0"/>
        </w:rPr>
        <w:t>Prepared by: Sasha Ouellet, Corporate Planning</w:t>
      </w:r>
    </w:p>
    <w:p/>
    <w:p>
      <w:pPr>
        <w:pStyle w:val="Heading2"/>
      </w:pPr>
      <w:r>
        <w:t>Attendees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Department</w:t>
            </w:r>
          </w:p>
        </w:tc>
        <w:tc>
          <w:tcPr>
            <w:tcW w:type="dxa" w:w="2880"/>
          </w:tcPr>
          <w:p>
            <w:r>
              <w:rPr>
                <w:b/>
              </w:rPr>
              <w:t>Role</w:t>
            </w:r>
          </w:p>
        </w:tc>
      </w:tr>
      <w:tr>
        <w:tc>
          <w:tcPr>
            <w:tcW w:type="dxa" w:w="2880"/>
          </w:tcPr>
          <w:p>
            <w:r>
              <w:t>Daichi Maruyama</w:t>
            </w:r>
          </w:p>
        </w:tc>
        <w:tc>
          <w:tcPr>
            <w:tcW w:type="dxa" w:w="2880"/>
          </w:tcPr>
          <w:p>
            <w:r>
              <w:t>Sales &amp; Marketing</w:t>
            </w:r>
          </w:p>
        </w:tc>
        <w:tc>
          <w:tcPr>
            <w:tcW w:type="dxa" w:w="2880"/>
          </w:tcPr>
          <w:p>
            <w:r>
              <w:t>Head of Sales</w:t>
            </w:r>
          </w:p>
        </w:tc>
      </w:tr>
      <w:tr>
        <w:tc>
          <w:tcPr>
            <w:tcW w:type="dxa" w:w="2880"/>
          </w:tcPr>
          <w:p>
            <w:r>
              <w:t>Hadar Caspit</w:t>
            </w:r>
          </w:p>
        </w:tc>
        <w:tc>
          <w:tcPr>
            <w:tcW w:type="dxa" w:w="2880"/>
          </w:tcPr>
          <w:p>
            <w:r>
              <w:t>Project Development</w:t>
            </w:r>
          </w:p>
        </w:tc>
        <w:tc>
          <w:tcPr>
            <w:tcW w:type="dxa" w:w="2880"/>
          </w:tcPr>
          <w:p>
            <w:r>
              <w:t>Project Director</w:t>
            </w:r>
          </w:p>
        </w:tc>
      </w:tr>
      <w:tr>
        <w:tc>
          <w:tcPr>
            <w:tcW w:type="dxa" w:w="2880"/>
          </w:tcPr>
          <w:p>
            <w:r>
              <w:t>Sasha Ouellet</w:t>
            </w:r>
          </w:p>
        </w:tc>
        <w:tc>
          <w:tcPr>
            <w:tcW w:type="dxa" w:w="2880"/>
          </w:tcPr>
          <w:p>
            <w:r>
              <w:t>Corporate Planning</w:t>
            </w:r>
          </w:p>
        </w:tc>
        <w:tc>
          <w:tcPr>
            <w:tcW w:type="dxa" w:w="2880"/>
          </w:tcPr>
          <w:p>
            <w:r>
              <w:t>Senior Planner</w:t>
            </w:r>
          </w:p>
        </w:tc>
      </w:tr>
      <w:tr>
        <w:tc>
          <w:tcPr>
            <w:tcW w:type="dxa" w:w="2880"/>
          </w:tcPr>
          <w:p>
            <w:r>
              <w:t>Mod Admin</w:t>
            </w:r>
          </w:p>
        </w:tc>
        <w:tc>
          <w:tcPr>
            <w:tcW w:type="dxa" w:w="2880"/>
          </w:tcPr>
          <w:p>
            <w:r>
              <w:t>Finance</w:t>
            </w:r>
          </w:p>
        </w:tc>
        <w:tc>
          <w:tcPr>
            <w:tcW w:type="dxa" w:w="2880"/>
          </w:tcPr>
          <w:p>
            <w:r>
              <w:t>Finance Controller</w:t>
            </w:r>
          </w:p>
        </w:tc>
      </w:tr>
      <w:tr>
        <w:tc>
          <w:tcPr>
            <w:tcW w:type="dxa" w:w="2880"/>
          </w:tcPr>
          <w:p>
            <w:r>
              <w:t>Lily Tan</w:t>
            </w:r>
          </w:p>
        </w:tc>
        <w:tc>
          <w:tcPr>
            <w:tcW w:type="dxa" w:w="2880"/>
          </w:tcPr>
          <w:p>
            <w:r>
              <w:t>Customer Experience</w:t>
            </w:r>
          </w:p>
        </w:tc>
        <w:tc>
          <w:tcPr>
            <w:tcW w:type="dxa" w:w="2880"/>
          </w:tcPr>
          <w:p>
            <w:r>
              <w:t>Head of CX</w:t>
            </w:r>
          </w:p>
        </w:tc>
      </w:tr>
      <w:tr>
        <w:tc>
          <w:tcPr>
            <w:tcW w:type="dxa" w:w="2880"/>
          </w:tcPr>
          <w:p>
            <w:r>
              <w:t>Rajan Krishnamurthy</w:t>
            </w:r>
          </w:p>
        </w:tc>
        <w:tc>
          <w:tcPr>
            <w:tcW w:type="dxa" w:w="2880"/>
          </w:tcPr>
          <w:p>
            <w:r>
              <w:t>Legal &amp; Compliance</w:t>
            </w:r>
          </w:p>
        </w:tc>
        <w:tc>
          <w:tcPr>
            <w:tcW w:type="dxa" w:w="2880"/>
          </w:tcPr>
          <w:p>
            <w:r>
              <w:t>Senior Legal Counsel</w:t>
            </w:r>
          </w:p>
        </w:tc>
      </w:tr>
    </w:tbl>
    <w:p/>
    <w:p>
      <w:pPr>
        <w:pStyle w:val="Heading2"/>
      </w:pPr>
      <w:r>
        <w:t>1. Q1 2025 Sales Performance Review</w:t>
      </w:r>
    </w:p>
    <w:p>
      <w:r>
        <w:rPr>
          <w:b w:val="0"/>
          <w:i w:val="0"/>
        </w:rPr>
        <w:t>Presented by: Daichi Maruyama, Head of Sales</w:t>
      </w:r>
    </w:p>
    <w:p>
      <w:r>
        <w:rPr>
          <w:b w:val="0"/>
          <w:i w:val="0"/>
        </w:rPr>
      </w:r>
    </w:p>
    <w:p>
      <w:r>
        <w:rPr>
          <w:b/>
          <w:i w:val="0"/>
        </w:rPr>
        <w:t>Overall Q1 Performance Summary:</w:t>
      </w:r>
    </w:p>
    <w:p>
      <w:pPr>
        <w:pStyle w:val="ListBullet"/>
      </w:pPr>
      <w:r>
        <w:rPr>
          <w:sz w:val="22"/>
        </w:rPr>
        <w:t>Total units sold Q1 2025: 312 units across all active projects (vs Q1 2024: 289 units, +8.0% YoY)</w:t>
      </w:r>
    </w:p>
    <w:p>
      <w:pPr>
        <w:pStyle w:val="ListBullet"/>
      </w:pPr>
      <w:r>
        <w:rPr>
          <w:sz w:val="22"/>
        </w:rPr>
        <w:t>Total Q1 revenue recognised: RM 312.4 million (vs target RM 325.0 million, -3.9% below target)</w:t>
      </w:r>
    </w:p>
    <w:p>
      <w:pPr>
        <w:pStyle w:val="ListBullet"/>
      </w:pPr>
      <w:r>
        <w:rPr>
          <w:sz w:val="22"/>
        </w:rPr>
        <w:t>Strongest performing project: Bandar Puteri Bangi – Caladia Serviced Apartment (94% take-up rate on Phase 1 launch)</w:t>
      </w:r>
    </w:p>
    <w:p>
      <w:pPr>
        <w:pStyle w:val="ListBullet"/>
      </w:pPr>
      <w:r>
        <w:rPr>
          <w:sz w:val="22"/>
        </w:rPr>
        <w:t>Underperforming project: Bandar Putra Kulai – Veena Cluster Homes (42% take-up, primarily due to macro affordability headwinds in Johor)</w:t>
      </w:r>
    </w:p>
    <w:p>
      <w:pPr>
        <w:pStyle w:val="ListBullet"/>
      </w:pPr>
      <w:r>
        <w:rPr>
          <w:sz w:val="22"/>
        </w:rPr>
        <w:t>Total GDV launched in Q1: RM 892 million across 4 project launches</w:t>
      </w:r>
    </w:p>
    <w:p/>
    <w:p>
      <w:r>
        <w:rPr>
          <w:b/>
          <w:i w:val="0"/>
        </w:rPr>
        <w:t>Key Discussion Points:</w:t>
      </w:r>
    </w:p>
    <w:p>
      <w:r>
        <w:rPr>
          <w:b w:val="0"/>
          <w:i w:val="0"/>
        </w:rPr>
        <w:t>Daichi Maruyama noted that the Puchong market remains resilient driven by MRT connectivity. The 2Rio Residence at Bandar Puteri Puchong has exceeded launch targets with 78% of Phase 1 units sold within 6 weeks. The team attributes this to the proximity to Bandar Puteri LRT Station (5-min walk) and the competitive RM 605,000 entry price point for 2-bedroom units.</w:t>
      </w:r>
    </w:p>
    <w:p>
      <w:r>
        <w:rPr>
          <w:b w:val="0"/>
          <w:i w:val="0"/>
        </w:rPr>
      </w:r>
    </w:p>
    <w:p>
      <w:r>
        <w:rPr>
          <w:b w:val="0"/>
          <w:i w:val="0"/>
        </w:rPr>
        <w:t>Hadar Caspit flagged that the Johor market (Bandar Putra Kulai) is experiencing slower absorption due to rising household debt levels and tighter bank lending guidelines effective January 2025. A RM 5,000 rebate package was proposed to stimulate conversions. Finance (Mod Admin) confirmed headroom exists within the project margin to support this if capped at 80 units.</w:t>
      </w:r>
    </w:p>
    <w:p>
      <w:r>
        <w:rPr>
          <w:b w:val="0"/>
          <w:i w:val="0"/>
        </w:rPr>
      </w:r>
    </w:p>
    <w:p>
      <w:r>
        <w:rPr>
          <w:b w:val="0"/>
          <w:i w:val="0"/>
        </w:rPr>
        <w:t>Sasha Ouellet raised that the sales conversion rate from Gallery visits dropped from 28% in Q4 2024 to 22% in Q1 2025, suggesting marketing spend reallocation may be needed from traditional media to digital/social channels targeting the 30-45 age group.</w:t>
      </w:r>
    </w:p>
    <w:p/>
    <w:p>
      <w:pPr>
        <w:pStyle w:val="Heading2"/>
      </w:pPr>
      <w:r>
        <w:t>2. Project Milestones &amp; Handover Schedule</w:t>
      </w:r>
    </w:p>
    <w:p>
      <w:r>
        <w:rPr>
          <w:b w:val="0"/>
          <w:i w:val="0"/>
        </w:rPr>
        <w:t>Presented by: Hadar Caspit, Project Director</w:t>
      </w:r>
    </w:p>
    <w:p>
      <w:r>
        <w:rPr>
          <w:b w:val="0"/>
          <w:i w:val="0"/>
        </w:rPr>
      </w:r>
    </w:p>
    <w:p>
      <w:r>
        <w:rPr>
          <w:b/>
          <w:i w:val="0"/>
        </w:rPr>
        <w:t>Active Project Status: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Project</w:t>
            </w:r>
          </w:p>
        </w:tc>
        <w:tc>
          <w:tcPr>
            <w:tcW w:type="dxa" w:w="1728"/>
          </w:tcPr>
          <w:p>
            <w:r>
              <w:rPr>
                <w:b/>
              </w:rPr>
              <w:t>Phase</w:t>
            </w:r>
          </w:p>
        </w:tc>
        <w:tc>
          <w:tcPr>
            <w:tcW w:type="dxa" w:w="1728"/>
          </w:tcPr>
          <w:p>
            <w:r>
              <w:rPr>
                <w:b/>
              </w:rPr>
              <w:t>Completion %</w:t>
            </w:r>
          </w:p>
        </w:tc>
        <w:tc>
          <w:tcPr>
            <w:tcW w:type="dxa" w:w="1728"/>
          </w:tcPr>
          <w:p>
            <w:r>
              <w:rPr>
                <w:b/>
              </w:rPr>
              <w:t>Target Handover</w:t>
            </w:r>
          </w:p>
        </w:tc>
        <w:tc>
          <w:tcPr>
            <w:tcW w:type="dxa" w:w="1728"/>
          </w:tcPr>
          <w:p>
            <w:r>
              <w:rPr>
                <w:b/>
              </w:rPr>
              <w:t>Status</w:t>
            </w:r>
          </w:p>
        </w:tc>
      </w:tr>
      <w:tr>
        <w:tc>
          <w:tcPr>
            <w:tcW w:type="dxa" w:w="1728"/>
          </w:tcPr>
          <w:p>
            <w:r>
              <w:rPr>
                <w:sz w:val="20"/>
              </w:rPr>
              <w:t>2Rio Residence, Puchong</w:t>
            </w:r>
          </w:p>
        </w:tc>
        <w:tc>
          <w:tcPr>
            <w:tcW w:type="dxa" w:w="1728"/>
          </w:tcPr>
          <w:p>
            <w:r>
              <w:rPr>
                <w:sz w:val="20"/>
              </w:rPr>
              <w:t>Phase 1 (316 units)</w:t>
            </w:r>
          </w:p>
        </w:tc>
        <w:tc>
          <w:tcPr>
            <w:tcW w:type="dxa" w:w="1728"/>
          </w:tcPr>
          <w:p>
            <w:r>
              <w:rPr>
                <w:sz w:val="20"/>
              </w:rPr>
              <w:t>68%</w:t>
            </w:r>
          </w:p>
        </w:tc>
        <w:tc>
          <w:tcPr>
            <w:tcW w:type="dxa" w:w="1728"/>
          </w:tcPr>
          <w:p>
            <w:r>
              <w:rPr>
                <w:sz w:val="20"/>
              </w:rPr>
              <w:t>Dec 2026</w:t>
            </w:r>
          </w:p>
        </w:tc>
        <w:tc>
          <w:tcPr>
            <w:tcW w:type="dxa" w:w="1728"/>
          </w:tcPr>
          <w:p>
            <w:r>
              <w:rPr>
                <w:sz w:val="20"/>
              </w:rPr>
              <w:t>On Track</w:t>
            </w:r>
          </w:p>
        </w:tc>
      </w:tr>
      <w:tr>
        <w:tc>
          <w:tcPr>
            <w:tcW w:type="dxa" w:w="1728"/>
          </w:tcPr>
          <w:p>
            <w:r>
              <w:rPr>
                <w:sz w:val="20"/>
              </w:rPr>
              <w:t>Caladia Serviced Apt, Bangi</w:t>
            </w:r>
          </w:p>
        </w:tc>
        <w:tc>
          <w:tcPr>
            <w:tcW w:type="dxa" w:w="1728"/>
          </w:tcPr>
          <w:p>
            <w:r>
              <w:rPr>
                <w:sz w:val="20"/>
              </w:rPr>
              <w:t>Phase 1 (240 units)</w:t>
            </w:r>
          </w:p>
        </w:tc>
        <w:tc>
          <w:tcPr>
            <w:tcW w:type="dxa" w:w="1728"/>
          </w:tcPr>
          <w:p>
            <w:r>
              <w:rPr>
                <w:sz w:val="20"/>
              </w:rPr>
              <w:t>41%</w:t>
            </w:r>
          </w:p>
        </w:tc>
        <w:tc>
          <w:tcPr>
            <w:tcW w:type="dxa" w:w="1728"/>
          </w:tcPr>
          <w:p>
            <w:r>
              <w:rPr>
                <w:sz w:val="20"/>
              </w:rPr>
              <w:t>Jun 2027</w:t>
            </w:r>
          </w:p>
        </w:tc>
        <w:tc>
          <w:tcPr>
            <w:tcW w:type="dxa" w:w="1728"/>
          </w:tcPr>
          <w:p>
            <w:r>
              <w:rPr>
                <w:sz w:val="20"/>
              </w:rPr>
              <w:t>On Track</w:t>
            </w:r>
          </w:p>
        </w:tc>
      </w:tr>
      <w:tr>
        <w:tc>
          <w:tcPr>
            <w:tcW w:type="dxa" w:w="1728"/>
          </w:tcPr>
          <w:p>
            <w:r>
              <w:rPr>
                <w:sz w:val="20"/>
              </w:rPr>
              <w:t>Veena Cluster Homes, Kulai</w:t>
            </w:r>
          </w:p>
        </w:tc>
        <w:tc>
          <w:tcPr>
            <w:tcW w:type="dxa" w:w="1728"/>
          </w:tcPr>
          <w:p>
            <w:r>
              <w:rPr>
                <w:sz w:val="20"/>
              </w:rPr>
              <w:t>Block A (60 units)</w:t>
            </w:r>
          </w:p>
        </w:tc>
        <w:tc>
          <w:tcPr>
            <w:tcW w:type="dxa" w:w="1728"/>
          </w:tcPr>
          <w:p>
            <w:r>
              <w:rPr>
                <w:sz w:val="20"/>
              </w:rPr>
              <w:t>89%</w:t>
            </w:r>
          </w:p>
        </w:tc>
        <w:tc>
          <w:tcPr>
            <w:tcW w:type="dxa" w:w="1728"/>
          </w:tcPr>
          <w:p>
            <w:r>
              <w:rPr>
                <w:sz w:val="20"/>
              </w:rPr>
              <w:t>Aug 2025</w:t>
            </w:r>
          </w:p>
        </w:tc>
        <w:tc>
          <w:tcPr>
            <w:tcW w:type="dxa" w:w="1728"/>
          </w:tcPr>
          <w:p>
            <w:r>
              <w:rPr>
                <w:sz w:val="20"/>
              </w:rPr>
              <w:t>At Risk – 3 wk delay</w:t>
            </w:r>
          </w:p>
        </w:tc>
      </w:tr>
      <w:tr>
        <w:tc>
          <w:tcPr>
            <w:tcW w:type="dxa" w:w="1728"/>
          </w:tcPr>
          <w:p>
            <w:r>
              <w:rPr>
                <w:sz w:val="20"/>
              </w:rPr>
              <w:t>Skyloft Avenue, Puchong Jaya</w:t>
            </w:r>
          </w:p>
        </w:tc>
        <w:tc>
          <w:tcPr>
            <w:tcW w:type="dxa" w:w="1728"/>
          </w:tcPr>
          <w:p>
            <w:r>
              <w:rPr>
                <w:sz w:val="20"/>
              </w:rPr>
              <w:t>All blocks</w:t>
            </w:r>
          </w:p>
        </w:tc>
        <w:tc>
          <w:tcPr>
            <w:tcW w:type="dxa" w:w="1728"/>
          </w:tcPr>
          <w:p>
            <w:r>
              <w:rPr>
                <w:sz w:val="20"/>
              </w:rPr>
              <w:t>100%</w:t>
            </w:r>
          </w:p>
        </w:tc>
        <w:tc>
          <w:tcPr>
            <w:tcW w:type="dxa" w:w="1728"/>
          </w:tcPr>
          <w:p>
            <w:r>
              <w:rPr>
                <w:sz w:val="20"/>
              </w:rPr>
              <w:t>Mar 2025</w:t>
            </w:r>
          </w:p>
        </w:tc>
        <w:tc>
          <w:tcPr>
            <w:tcW w:type="dxa" w:w="1728"/>
          </w:tcPr>
          <w:p>
            <w:r>
              <w:rPr>
                <w:sz w:val="20"/>
              </w:rPr>
              <w:t>Handed Over ✓</w:t>
            </w:r>
          </w:p>
        </w:tc>
      </w:tr>
      <w:tr>
        <w:tc>
          <w:tcPr>
            <w:tcW w:type="dxa" w:w="1728"/>
          </w:tcPr>
          <w:p>
            <w:r>
              <w:rPr>
                <w:sz w:val="20"/>
              </w:rPr>
              <w:t>Aurelia Townhouse, Salak Tinggi</w:t>
            </w:r>
          </w:p>
        </w:tc>
        <w:tc>
          <w:tcPr>
            <w:tcW w:type="dxa" w:w="1728"/>
          </w:tcPr>
          <w:p>
            <w:r>
              <w:rPr>
                <w:sz w:val="20"/>
              </w:rPr>
              <w:t>Phase 1 (88 units)</w:t>
            </w:r>
          </w:p>
        </w:tc>
        <w:tc>
          <w:tcPr>
            <w:tcW w:type="dxa" w:w="1728"/>
          </w:tcPr>
          <w:p>
            <w:r>
              <w:rPr>
                <w:sz w:val="20"/>
              </w:rPr>
              <w:t>55%</w:t>
            </w:r>
          </w:p>
        </w:tc>
        <w:tc>
          <w:tcPr>
            <w:tcW w:type="dxa" w:w="1728"/>
          </w:tcPr>
          <w:p>
            <w:r>
              <w:rPr>
                <w:sz w:val="20"/>
              </w:rPr>
              <w:t>Mar 2027</w:t>
            </w:r>
          </w:p>
        </w:tc>
        <w:tc>
          <w:tcPr>
            <w:tcW w:type="dxa" w:w="1728"/>
          </w:tcPr>
          <w:p>
            <w:r>
              <w:rPr>
                <w:sz w:val="20"/>
              </w:rPr>
              <w:t>On Track</w:t>
            </w:r>
          </w:p>
        </w:tc>
      </w:tr>
      <w:tr>
        <w:tc>
          <w:tcPr>
            <w:tcW w:type="dxa" w:w="1728"/>
          </w:tcPr>
          <w:p>
            <w:r>
              <w:rPr>
                <w:sz w:val="20"/>
              </w:rPr>
              <w:t>COVO TOD, 16 Sierra</w:t>
            </w:r>
          </w:p>
        </w:tc>
        <w:tc>
          <w:tcPr>
            <w:tcW w:type="dxa" w:w="1728"/>
          </w:tcPr>
          <w:p>
            <w:r>
              <w:rPr>
                <w:sz w:val="20"/>
              </w:rPr>
              <w:t>Phase 1 (301 units)</w:t>
            </w:r>
          </w:p>
        </w:tc>
        <w:tc>
          <w:tcPr>
            <w:tcW w:type="dxa" w:w="1728"/>
          </w:tcPr>
          <w:p>
            <w:r>
              <w:rPr>
                <w:sz w:val="20"/>
              </w:rPr>
              <w:t>22%</w:t>
            </w:r>
          </w:p>
        </w:tc>
        <w:tc>
          <w:tcPr>
            <w:tcW w:type="dxa" w:w="1728"/>
          </w:tcPr>
          <w:p>
            <w:r>
              <w:rPr>
                <w:sz w:val="20"/>
              </w:rPr>
              <w:t>Sep 2027</w:t>
            </w:r>
          </w:p>
        </w:tc>
        <w:tc>
          <w:tcPr>
            <w:tcW w:type="dxa" w:w="1728"/>
          </w:tcPr>
          <w:p>
            <w:r>
              <w:rPr>
                <w:sz w:val="20"/>
              </w:rPr>
              <w:t>On Track</w:t>
            </w:r>
          </w:p>
        </w:tc>
      </w:tr>
      <w:tr>
        <w:tc>
          <w:tcPr>
            <w:tcW w:type="dxa" w:w="1728"/>
          </w:tcPr>
          <w:p>
            <w:r>
              <w:rPr>
                <w:sz w:val="20"/>
              </w:rPr>
              <w:t>Arawani Semi-D, Bangi</w:t>
            </w:r>
          </w:p>
        </w:tc>
        <w:tc>
          <w:tcPr>
            <w:tcW w:type="dxa" w:w="1728"/>
          </w:tcPr>
          <w:p>
            <w:r>
              <w:rPr>
                <w:sz w:val="20"/>
              </w:rPr>
              <w:t>Phase 1 (76 units)</w:t>
            </w:r>
          </w:p>
        </w:tc>
        <w:tc>
          <w:tcPr>
            <w:tcW w:type="dxa" w:w="1728"/>
          </w:tcPr>
          <w:p>
            <w:r>
              <w:rPr>
                <w:sz w:val="20"/>
              </w:rPr>
              <w:t>74%</w:t>
            </w:r>
          </w:p>
        </w:tc>
        <w:tc>
          <w:tcPr>
            <w:tcW w:type="dxa" w:w="1728"/>
          </w:tcPr>
          <w:p>
            <w:r>
              <w:rPr>
                <w:sz w:val="20"/>
              </w:rPr>
              <w:t>Oct 2025</w:t>
            </w:r>
          </w:p>
        </w:tc>
        <w:tc>
          <w:tcPr>
            <w:tcW w:type="dxa" w:w="1728"/>
          </w:tcPr>
          <w:p>
            <w:r>
              <w:rPr>
                <w:sz w:val="20"/>
              </w:rPr>
              <w:t>Slight Delay – 2 wk</w:t>
            </w:r>
          </w:p>
        </w:tc>
      </w:tr>
    </w:tbl>
    <w:p/>
    <w:p>
      <w:r>
        <w:rPr>
          <w:b/>
          <w:i w:val="0"/>
        </w:rPr>
        <w:t>Key Issues Raised:</w:t>
      </w:r>
    </w:p>
    <w:p>
      <w:r>
        <w:rPr>
          <w:b w:val="0"/>
          <w:i w:val="0"/>
        </w:rPr>
        <w:t>Hadar Caspit highlighted that Veena Cluster Homes Block A is facing a 3-week delay due to M&amp;E subcontractor (Syarikat Wira Elektrik) defaulting on their timeline for electrical terminations. The team is considering engaging a second subcontractor to accelerate the final 20% of works. A formal Delay Notice has been issued to Syarikat Wira Elektrik on 18 April 2025.</w:t>
      </w:r>
    </w:p>
    <w:p>
      <w:r>
        <w:rPr>
          <w:b w:val="0"/>
          <w:i w:val="0"/>
        </w:rPr>
      </w:r>
    </w:p>
    <w:p>
      <w:r>
        <w:rPr>
          <w:b w:val="0"/>
          <w:i w:val="0"/>
        </w:rPr>
        <w:t>Lily Tan (Head of CX) flagged that 14 buyers of Arawani Semi-D Phase 1 have submitted written complaints regarding the delay notification, requesting compensation under Clause 11 of the SPA. Rajan Krishnamurthy confirmed that the current delay (2 weeks) does not trigger the LAD (Liquidated Ascertained Damages) clause but advised proactive buyer communication to maintain trust.</w:t>
      </w:r>
    </w:p>
    <w:p/>
    <w:p>
      <w:pPr>
        <w:pStyle w:val="Heading2"/>
      </w:pPr>
      <w:r>
        <w:t>3. Marketing &amp; Upcoming Launches</w:t>
      </w:r>
    </w:p>
    <w:p>
      <w:r>
        <w:rPr>
          <w:b w:val="0"/>
          <w:i w:val="0"/>
        </w:rPr>
        <w:t>Presented by: Sasha Ouellet, Corporate Planning / Marketing</w:t>
      </w:r>
    </w:p>
    <w:p>
      <w:r>
        <w:rPr>
          <w:b w:val="0"/>
          <w:i w:val="0"/>
        </w:rPr>
      </w:r>
    </w:p>
    <w:p>
      <w:r>
        <w:rPr>
          <w:b/>
          <w:i w:val="0"/>
        </w:rPr>
        <w:t>Upcoming Q2 2025 Launches:</w:t>
      </w:r>
    </w:p>
    <w:p>
      <w:r>
        <w:rPr>
          <w:b w:val="0"/>
          <w:i w:val="0"/>
        </w:rPr>
        <w:t>• COVO TOD Phase 2 – 16 Sierra, Puchong | Launch: May 2025 | RM 274 mil GDV | 300 units</w:t>
      </w:r>
    </w:p>
    <w:p>
      <w:r>
        <w:rPr>
          <w:b w:val="0"/>
          <w:i w:val="0"/>
        </w:rPr>
        <w:t>• Arawani Bungalows, Bangi | Launch: June 2025 | RM 198 mil GDV | 75 units</w:t>
      </w:r>
    </w:p>
    <w:p>
      <w:r>
        <w:rPr>
          <w:b w:val="0"/>
          <w:i w:val="0"/>
        </w:rPr>
        <w:t>• New township announcement (TBC – Seremban) | Launch: July 2025 | RM 650 mil GDV | TBC</w:t>
      </w:r>
    </w:p>
    <w:p/>
    <w:p>
      <w:r>
        <w:rPr>
          <w:b/>
          <w:i w:val="0"/>
        </w:rPr>
        <w:t>Marketing Budget Q2 2025:</w:t>
      </w:r>
    </w:p>
    <w:p>
      <w:r>
        <w:rPr>
          <w:b w:val="0"/>
          <w:i w:val="0"/>
        </w:rPr>
        <w:t>Total approved budget: RM 4.2 million for Q2. Sasha Ouellet proposed a 40% digital / 35% events / 25% print split, revised from the previous 25% / 35% / 40% split. The digital shift aligns with the 68% of leads now originating from online channels. Daichi Maruyama supported the reallocation.</w:t>
      </w:r>
    </w:p>
    <w:p>
      <w:r>
        <w:rPr>
          <w:b w:val="0"/>
          <w:i w:val="0"/>
        </w:rPr>
      </w:r>
    </w:p>
    <w:p>
      <w:r>
        <w:rPr>
          <w:b w:val="0"/>
          <w:i w:val="0"/>
        </w:rPr>
        <w:t>A strategic collaboration with PropertyGuru for a featured listing campaign was proposed for the COVO TOD Phase 2 launch. Estimated cost: RM 280,000 for a 6-week campaign. Sasha to confirm final budget approval with Mod Admin by 30 April 2025.</w:t>
      </w:r>
    </w:p>
    <w:p/>
    <w:p>
      <w:pPr>
        <w:pStyle w:val="Heading2"/>
      </w:pPr>
      <w:r>
        <w:t>4. Finance &amp; Budget Review</w:t>
      </w:r>
    </w:p>
    <w:p>
      <w:r>
        <w:rPr>
          <w:b w:val="0"/>
          <w:i w:val="0"/>
        </w:rPr>
        <w:t>Presented by: Mod Admin, Finance Controller</w:t>
      </w:r>
    </w:p>
    <w:p>
      <w:r>
        <w:rPr>
          <w:b w:val="0"/>
          <w:i w:val="0"/>
        </w:rPr>
      </w:r>
    </w:p>
    <w:p>
      <w:r>
        <w:rPr>
          <w:b/>
          <w:i w:val="0"/>
        </w:rPr>
        <w:t>Q1 2025 Financial Summary:</w:t>
      </w:r>
    </w:p>
    <w:p>
      <w:r>
        <w:rPr>
          <w:b w:val="0"/>
          <w:i w:val="0"/>
        </w:rPr>
        <w:t>Revenue recognised Q1 2025: RM 312.4 million (below RM 325.0 million target). The shortfall is attributable to the 3-week delay in Veena Phase 1 handover and slower-than-expected loan approvals for Arawani buyers (bank processing times averaging 42 days vs 28-day target).</w:t>
      </w:r>
    </w:p>
    <w:p>
      <w:r>
        <w:rPr>
          <w:b w:val="0"/>
          <w:i w:val="0"/>
        </w:rPr>
      </w:r>
    </w:p>
    <w:p>
      <w:r>
        <w:rPr>
          <w:b w:val="0"/>
          <w:i w:val="0"/>
        </w:rPr>
        <w:t>Cost overrun alerts: Veena Cluster Homes Block A reported a 6.2% cost overrun (RM 2.1 million above budget) due to material price escalation on copper wiring and unanticipated soil stabilisation works in blocks B4-B7. A formal variance report has been submitted to Group Finance.</w:t>
      </w:r>
    </w:p>
    <w:p>
      <w:r>
        <w:rPr>
          <w:b w:val="0"/>
          <w:i w:val="0"/>
        </w:rPr>
      </w:r>
    </w:p>
    <w:p>
      <w:r>
        <w:rPr>
          <w:b w:val="0"/>
          <w:i w:val="0"/>
        </w:rPr>
        <w:t>Cash position remains healthy at RM 1.84 billion in group cash and equivalents as of 31 March 2025. No near-term refinancing requirements flagged.</w:t>
      </w:r>
    </w:p>
    <w:p/>
    <w:p>
      <w:pPr>
        <w:pStyle w:val="Heading2"/>
      </w:pPr>
      <w:r>
        <w:t>5. Action Items</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Action Item</w:t>
            </w:r>
          </w:p>
        </w:tc>
        <w:tc>
          <w:tcPr>
            <w:tcW w:type="dxa" w:w="2160"/>
          </w:tcPr>
          <w:p>
            <w:r>
              <w:rPr>
                <w:b/>
              </w:rPr>
              <w:t>Owner</w:t>
            </w:r>
          </w:p>
        </w:tc>
        <w:tc>
          <w:tcPr>
            <w:tcW w:type="dxa" w:w="2160"/>
          </w:tcPr>
          <w:p>
            <w:r>
              <w:rPr>
                <w:b/>
              </w:rPr>
              <w:t>Due Date</w:t>
            </w:r>
          </w:p>
        </w:tc>
      </w:tr>
      <w:tr>
        <w:tc>
          <w:tcPr>
            <w:tcW w:type="dxa" w:w="2160"/>
          </w:tcPr>
          <w:p>
            <w:r>
              <w:rPr>
                <w:sz w:val="20"/>
              </w:rPr>
              <w:t>1</w:t>
            </w:r>
          </w:p>
        </w:tc>
        <w:tc>
          <w:tcPr>
            <w:tcW w:type="dxa" w:w="2160"/>
          </w:tcPr>
          <w:p>
            <w:r>
              <w:rPr>
                <w:sz w:val="20"/>
              </w:rPr>
              <w:t>Finalise RM 5,000 rebate package proposal for Veena Cluster Homes and present to Group CEO for approval</w:t>
            </w:r>
          </w:p>
        </w:tc>
        <w:tc>
          <w:tcPr>
            <w:tcW w:type="dxa" w:w="2160"/>
          </w:tcPr>
          <w:p>
            <w:r>
              <w:rPr>
                <w:sz w:val="20"/>
              </w:rPr>
              <w:t>Daichi Maruyama</w:t>
            </w:r>
          </w:p>
        </w:tc>
        <w:tc>
          <w:tcPr>
            <w:tcW w:type="dxa" w:w="2160"/>
          </w:tcPr>
          <w:p>
            <w:r>
              <w:rPr>
                <w:sz w:val="20"/>
              </w:rPr>
              <w:t>29 Apr 2025</w:t>
            </w:r>
          </w:p>
        </w:tc>
      </w:tr>
      <w:tr>
        <w:tc>
          <w:tcPr>
            <w:tcW w:type="dxa" w:w="2160"/>
          </w:tcPr>
          <w:p>
            <w:r>
              <w:rPr>
                <w:sz w:val="20"/>
              </w:rPr>
              <w:t>2</w:t>
            </w:r>
          </w:p>
        </w:tc>
        <w:tc>
          <w:tcPr>
            <w:tcW w:type="dxa" w:w="2160"/>
          </w:tcPr>
          <w:p>
            <w:r>
              <w:rPr>
                <w:sz w:val="20"/>
              </w:rPr>
              <w:t>Engage second M&amp;E subcontractor for Veena Block A electrical works; update project schedule</w:t>
            </w:r>
          </w:p>
        </w:tc>
        <w:tc>
          <w:tcPr>
            <w:tcW w:type="dxa" w:w="2160"/>
          </w:tcPr>
          <w:p>
            <w:r>
              <w:rPr>
                <w:sz w:val="20"/>
              </w:rPr>
              <w:t>Hadar Caspit</w:t>
            </w:r>
          </w:p>
        </w:tc>
        <w:tc>
          <w:tcPr>
            <w:tcW w:type="dxa" w:w="2160"/>
          </w:tcPr>
          <w:p>
            <w:r>
              <w:rPr>
                <w:sz w:val="20"/>
              </w:rPr>
              <w:t>25 Apr 2025</w:t>
            </w:r>
          </w:p>
        </w:tc>
      </w:tr>
      <w:tr>
        <w:tc>
          <w:tcPr>
            <w:tcW w:type="dxa" w:w="2160"/>
          </w:tcPr>
          <w:p>
            <w:r>
              <w:rPr>
                <w:sz w:val="20"/>
              </w:rPr>
              <w:t>3</w:t>
            </w:r>
          </w:p>
        </w:tc>
        <w:tc>
          <w:tcPr>
            <w:tcW w:type="dxa" w:w="2160"/>
          </w:tcPr>
          <w:p>
            <w:r>
              <w:rPr>
                <w:sz w:val="20"/>
              </w:rPr>
              <w:t>Issue proactive buyer communication letter for Arawani delay (2 wk); coordinate with Legal on tone</w:t>
            </w:r>
          </w:p>
        </w:tc>
        <w:tc>
          <w:tcPr>
            <w:tcW w:type="dxa" w:w="2160"/>
          </w:tcPr>
          <w:p>
            <w:r>
              <w:rPr>
                <w:sz w:val="20"/>
              </w:rPr>
              <w:t>Lily Tan / Rajan K.</w:t>
            </w:r>
          </w:p>
        </w:tc>
        <w:tc>
          <w:tcPr>
            <w:tcW w:type="dxa" w:w="2160"/>
          </w:tcPr>
          <w:p>
            <w:r>
              <w:rPr>
                <w:sz w:val="20"/>
              </w:rPr>
              <w:t>24 Apr 2025</w:t>
            </w:r>
          </w:p>
        </w:tc>
      </w:tr>
      <w:tr>
        <w:tc>
          <w:tcPr>
            <w:tcW w:type="dxa" w:w="2160"/>
          </w:tcPr>
          <w:p>
            <w:r>
              <w:rPr>
                <w:sz w:val="20"/>
              </w:rPr>
              <w:t>4</w:t>
            </w:r>
          </w:p>
        </w:tc>
        <w:tc>
          <w:tcPr>
            <w:tcW w:type="dxa" w:w="2160"/>
          </w:tcPr>
          <w:p>
            <w:r>
              <w:rPr>
                <w:sz w:val="20"/>
              </w:rPr>
              <w:t>Confirm PropertyGuru campaign budget approval for COVO TOD Phase 2 launch</w:t>
            </w:r>
          </w:p>
        </w:tc>
        <w:tc>
          <w:tcPr>
            <w:tcW w:type="dxa" w:w="2160"/>
          </w:tcPr>
          <w:p>
            <w:r>
              <w:rPr>
                <w:sz w:val="20"/>
              </w:rPr>
              <w:t>Sasha Ouellet / Mod Admin</w:t>
            </w:r>
          </w:p>
        </w:tc>
        <w:tc>
          <w:tcPr>
            <w:tcW w:type="dxa" w:w="2160"/>
          </w:tcPr>
          <w:p>
            <w:r>
              <w:rPr>
                <w:sz w:val="20"/>
              </w:rPr>
              <w:t>30 Apr 2025</w:t>
            </w:r>
          </w:p>
        </w:tc>
      </w:tr>
      <w:tr>
        <w:tc>
          <w:tcPr>
            <w:tcW w:type="dxa" w:w="2160"/>
          </w:tcPr>
          <w:p>
            <w:r>
              <w:rPr>
                <w:sz w:val="20"/>
              </w:rPr>
              <w:t>5</w:t>
            </w:r>
          </w:p>
        </w:tc>
        <w:tc>
          <w:tcPr>
            <w:tcW w:type="dxa" w:w="2160"/>
          </w:tcPr>
          <w:p>
            <w:r>
              <w:rPr>
                <w:sz w:val="20"/>
              </w:rPr>
              <w:t>Revise Q2 marketing budget split (digital 40%) and submit to Group CMO for endorsement</w:t>
            </w:r>
          </w:p>
        </w:tc>
        <w:tc>
          <w:tcPr>
            <w:tcW w:type="dxa" w:w="2160"/>
          </w:tcPr>
          <w:p>
            <w:r>
              <w:rPr>
                <w:sz w:val="20"/>
              </w:rPr>
              <w:t>Sasha Ouellet</w:t>
            </w:r>
          </w:p>
        </w:tc>
        <w:tc>
          <w:tcPr>
            <w:tcW w:type="dxa" w:w="2160"/>
          </w:tcPr>
          <w:p>
            <w:r>
              <w:rPr>
                <w:sz w:val="20"/>
              </w:rPr>
              <w:t>28 Apr 2025</w:t>
            </w:r>
          </w:p>
        </w:tc>
      </w:tr>
      <w:tr>
        <w:tc>
          <w:tcPr>
            <w:tcW w:type="dxa" w:w="2160"/>
          </w:tcPr>
          <w:p>
            <w:r>
              <w:rPr>
                <w:sz w:val="20"/>
              </w:rPr>
              <w:t>6</w:t>
            </w:r>
          </w:p>
        </w:tc>
        <w:tc>
          <w:tcPr>
            <w:tcW w:type="dxa" w:w="2160"/>
          </w:tcPr>
          <w:p>
            <w:r>
              <w:rPr>
                <w:sz w:val="20"/>
              </w:rPr>
              <w:t>Submit Q1 variance report to Group Finance for Veena cost overrun (RM 2.1M)</w:t>
            </w:r>
          </w:p>
        </w:tc>
        <w:tc>
          <w:tcPr>
            <w:tcW w:type="dxa" w:w="2160"/>
          </w:tcPr>
          <w:p>
            <w:r>
              <w:rPr>
                <w:sz w:val="20"/>
              </w:rPr>
              <w:t>Mod Admin</w:t>
            </w:r>
          </w:p>
        </w:tc>
        <w:tc>
          <w:tcPr>
            <w:tcW w:type="dxa" w:w="2160"/>
          </w:tcPr>
          <w:p>
            <w:r>
              <w:rPr>
                <w:sz w:val="20"/>
              </w:rPr>
              <w:t>26 Apr 2025</w:t>
            </w:r>
          </w:p>
        </w:tc>
      </w:tr>
      <w:tr>
        <w:tc>
          <w:tcPr>
            <w:tcW w:type="dxa" w:w="2160"/>
          </w:tcPr>
          <w:p>
            <w:r>
              <w:rPr>
                <w:sz w:val="20"/>
              </w:rPr>
              <w:t>7</w:t>
            </w:r>
          </w:p>
        </w:tc>
        <w:tc>
          <w:tcPr>
            <w:tcW w:type="dxa" w:w="2160"/>
          </w:tcPr>
          <w:p>
            <w:r>
              <w:rPr>
                <w:sz w:val="20"/>
              </w:rPr>
              <w:t>Prepare Q2 sales target breakdown by project for Board presentation on 5 May 2025</w:t>
            </w:r>
          </w:p>
        </w:tc>
        <w:tc>
          <w:tcPr>
            <w:tcW w:type="dxa" w:w="2160"/>
          </w:tcPr>
          <w:p>
            <w:r>
              <w:rPr>
                <w:sz w:val="20"/>
              </w:rPr>
              <w:t>Daichi Maruyama / Sasha Ouellet</w:t>
            </w:r>
          </w:p>
        </w:tc>
        <w:tc>
          <w:tcPr>
            <w:tcW w:type="dxa" w:w="2160"/>
          </w:tcPr>
          <w:p>
            <w:r>
              <w:rPr>
                <w:sz w:val="20"/>
              </w:rPr>
              <w:t>2 May 2025</w:t>
            </w:r>
          </w:p>
        </w:tc>
      </w:tr>
      <w:tr>
        <w:tc>
          <w:tcPr>
            <w:tcW w:type="dxa" w:w="2160"/>
          </w:tcPr>
          <w:p>
            <w:r>
              <w:rPr>
                <w:sz w:val="20"/>
              </w:rPr>
              <w:t>8</w:t>
            </w:r>
          </w:p>
        </w:tc>
        <w:tc>
          <w:tcPr>
            <w:tcW w:type="dxa" w:w="2160"/>
          </w:tcPr>
          <w:p>
            <w:r>
              <w:rPr>
                <w:sz w:val="20"/>
              </w:rPr>
              <w:t>Conduct affordability review for Bandar Putra Kulai pipeline and propose product mix adjustments</w:t>
            </w:r>
          </w:p>
        </w:tc>
        <w:tc>
          <w:tcPr>
            <w:tcW w:type="dxa" w:w="2160"/>
          </w:tcPr>
          <w:p>
            <w:r>
              <w:rPr>
                <w:sz w:val="20"/>
              </w:rPr>
              <w:t>Corporate Planning</w:t>
            </w:r>
          </w:p>
        </w:tc>
        <w:tc>
          <w:tcPr>
            <w:tcW w:type="dxa" w:w="2160"/>
          </w:tcPr>
          <w:p>
            <w:r>
              <w:rPr>
                <w:sz w:val="20"/>
              </w:rPr>
              <w:t>9 May 2025</w:t>
            </w:r>
          </w:p>
        </w:tc>
      </w:tr>
    </w:tbl>
    <w:p/>
    <w:p>
      <w:r>
        <w:rPr>
          <w:b w:val="0"/>
          <w:i w:val="0"/>
        </w:rPr>
        <w:t>Next Meeting: Tuesday, 20 May 2025 | 10:00 AM | Level 18 Boardroom, IOI City Tower 1</w:t>
      </w:r>
    </w:p>
    <w:p>
      <w:r>
        <w:rPr>
          <w:b w:val="0"/>
          <w:i/>
        </w:rPr>
        <w:t>Minutes prepared by: Sasha Ouellet | Approved by: Daichi Maruyama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IOI Properties</dc:creator>
  <cp:keywords/>
  <dc:description>generated by python-docx</dc:description>
  <cp:lastModifiedBy/>
  <cp:revision>1</cp:revision>
  <dcterms:created xsi:type="dcterms:W3CDTF">2013-12-23T23:15:00Z</dcterms:created>
  <dcterms:modified xsi:type="dcterms:W3CDTF">2013-12-23T23:15:00Z</dcterms:modified>
  <cp:category/>
</cp:coreProperties>
</file>