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Refresh Backlog</w:t>
      </w:r>
    </w:p>
    <w:p>
      <w:r>
        <w:t>Executive summary: This demo stub supports regulatory compliance across BNM, MAS, OJK, SC, PIDM, IFSA and FSA obligations for Zava Conglomerate across FY2025 actuals, FY2026 delivery and FY2027 planning.</w:t>
      </w:r>
    </w:p>
    <w:p>
      <w:pPr>
        <w:pStyle w:val="ListBullet"/>
      </w:pPr>
      <w:r>
        <w:t>Hadar Caspit will brief ExCo on financial exposure, regulatory posture and decision points.</w:t>
      </w:r>
    </w:p>
    <w:p>
      <w:pPr>
        <w:pStyle w:val="ListBullet"/>
      </w:pPr>
      <w:r>
        <w:t>Sasha Ouellet coordinates owners across Zava Bank, Plantations, Energy, Pharma and Consumer.</w:t>
      </w:r>
    </w:p>
    <w:p>
      <w:pPr>
        <w:pStyle w:val="ListBullet"/>
      </w:pPr>
      <w:r>
        <w:t>Mod Admin maintains SharePoint metadata and Scout card readiness.</w:t>
      </w:r>
    </w:p>
    <w:p>
      <w:pPr>
        <w:pStyle w:val="ListBullet"/>
      </w:pPr>
      <w:r>
        <w:t>Regulators referenced include BNM, MAS, OJK, SC, PIDM, IFSA and FSA.</w:t>
      </w:r>
    </w:p>
    <w:p>
      <w:pPr>
        <w:pStyle w:val="ListBullet"/>
      </w:pPr>
      <w:r>
        <w:t>Currency assumptions include MYR, IDR and USD.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FY2026 Note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Mod Admin (Strategy Director)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Hadar Caspit (Group CFO)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Executive action</w:t>
            </w:r>
          </w:p>
        </w:tc>
        <w:tc>
          <w:tcPr>
            <w:tcW w:type="dxa" w:w="2880"/>
          </w:tcPr>
          <w:p>
            <w:r>
              <w:t>Daichi Maruyama (Transformation Lead)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</w:tbl>
    <w:p>
      <w:r>
        <w:br/>
        <w:t>Signatory: Hadar Caspit, Group CFO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