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Borneo Logistics Supply Agreement 2026</w:t>
      </w:r>
    </w:p>
    <w:p>
      <w:r>
        <w:t>Counterparty: Borneo Logistics Sdn Bhd; Contract value: MYR 1,850,000; Jurisdiction: Malaysia.</w:t>
      </w:r>
    </w:p>
    <w:p>
      <w:r>
        <w:t>Purpose: SharePoint AI Autofill demo for extracting counterparty, value, expiry date, jurisdiction, renewal notice days and personal data clauses.</w:t>
      </w:r>
    </w:p>
    <w:p>
      <w:r>
        <w:t>Owner: Sasha Ouellet. Finance reviewer: Hadar Caspit. Metadata steward: Mod Admin.</w:t>
      </w:r>
    </w:p>
    <w:p>
      <w:r>
        <w:t>Personal data clause: cross-border transfer controls apply where BNM, MAS, OJK, SC, PIDM, IFSA or FSA requirements are relevant.</w:t>
      </w:r>
    </w:p>
    <w:p>
      <w:r>
        <w:t>Signatory: Zava Legal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