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E7490"/>
          <w:sz w:val="40"/>
        </w:rPr>
        <w:t>Zava Motors</w:t>
      </w:r>
    </w:p>
    <w:p>
      <w:r>
        <w:rPr>
          <w:i/>
        </w:rPr>
        <w:t>Chairman &amp; Group CEO – FY26 Strategic Priorities Memo</w:t>
      </w:r>
    </w:p>
    <w:p>
      <w:r>
        <w:rPr>
          <w:sz w:val="18"/>
        </w:rPr>
        <w:t>Confidential | For Board Discussion | Distributed: 2 April 2026</w:t>
      </w:r>
    </w:p>
    <w:p/>
    <w:p>
      <w:pPr>
        <w:pStyle w:val="Heading2"/>
      </w:pPr>
      <w:r>
        <w:t>To the Board of Directors</w:t>
      </w:r>
    </w:p>
    <w:p>
      <w:r>
        <w:t>As we close out FY25 with consolidated revenue of IDR 15.0 trillion and EBITDA margin of 13.0%, Zava Motors enters FY26 at an inflection point. Indonesia's 2-wheeler market — the largest in ASEAN — is undergoing simultaneous shifts: electrification, digital financing, and consolidation of independent dealer networks. The following five priorities will shape Board, ExCo, and segment-level focus for FY26.</w:t>
      </w:r>
    </w:p>
    <w:p>
      <w:r>
        <w:rPr>
          <w:b/>
          <w:color w:val="0E7490"/>
          <w:sz w:val="24"/>
        </w:rPr>
        <w:t>1. Defend &amp; Grow Honda Distribution Leadership in East Java &amp; NTT</w:t>
      </w:r>
    </w:p>
    <w:p>
      <w:r>
        <w:t>Maintain &gt;55% market share in East Java despite emerging competition from Yamaha premium and Chinese EV entrants. Invest IDR 180B in dealer experience upgrades across 60 priority outlets. Target unit sales growth of 6% YoY.</w:t>
      </w:r>
    </w:p>
    <w:p>
      <w:r>
        <w:rPr>
          <w:b/>
          <w:color w:val="0E7490"/>
          <w:sz w:val="24"/>
        </w:rPr>
        <w:t>2. Accelerate EV 2-Wheeler &amp; Battery Swap Pilot</w:t>
      </w:r>
    </w:p>
    <w:p>
      <w:r>
        <w:t>Scale battery swap stations from 6 to 28 by year-end across Surabaya, Malang, and Sidoarjo metro. Onboard 35% of dealers as EV-service-certified. EV unit sales target: 4,500 units (vs 1,180 in FY25).</w:t>
      </w:r>
    </w:p>
    <w:p>
      <w:r>
        <w:rPr>
          <w:b/>
          <w:color w:val="0E7490"/>
          <w:sz w:val="24"/>
        </w:rPr>
        <w:t>3. Grow JACCS Finance JV – Inclusive &amp; Green Financing</w:t>
      </w:r>
    </w:p>
    <w:p>
      <w:r>
        <w:t>Expand consumer financing book by 12% with a focus on first-time formal-sector borrowers in East Java and NTT. Launch a Green Mobility loan product tied to EV 2W and reach 12% green share of book by year-end.</w:t>
      </w:r>
    </w:p>
    <w:p>
      <w:r>
        <w:rPr>
          <w:b/>
          <w:color w:val="0E7490"/>
          <w:sz w:val="24"/>
        </w:rPr>
        <w:t>4. Zava Rent – Corporate Fleet &amp; EV Transition</w:t>
      </w:r>
    </w:p>
    <w:p>
      <w:r>
        <w:t>Defend 29% EBITDA margin in corporate fleet rental. Onboard 3 new enterprise clients. Electrify 15% of fleet by year-end and pilot subscription-based mobility for SMEs in Greater Surabaya.</w:t>
      </w:r>
    </w:p>
    <w:p>
      <w:r>
        <w:rPr>
          <w:b/>
          <w:color w:val="0E7490"/>
          <w:sz w:val="24"/>
        </w:rPr>
        <w:t>5. Capital Markets – Sukuk &amp; EV Acquisition</w:t>
      </w:r>
    </w:p>
    <w:p>
      <w:r>
        <w:t>Execute IDR 1.2T Sukuk issuance by Sep 2026 to fund EV infrastructure and refinance maturing bonds. Conclude due diligence on the EV charging network target (IDR 350B) by Q4 FY26.</w:t>
      </w:r>
    </w:p>
    <w:p>
      <w:pPr>
        <w:pStyle w:val="Heading2"/>
      </w:pPr>
      <w:r>
        <w:t>Key Risks to Monitor</w:t>
      </w:r>
    </w:p>
    <w:p>
      <w:pPr>
        <w:pStyle w:val="ListBullet"/>
      </w:pPr>
      <w:r>
        <w:t>Chinese EV 2W entrants undercutting price points by 15–20% in coastal markets.</w:t>
      </w:r>
    </w:p>
    <w:p>
      <w:pPr>
        <w:pStyle w:val="ListBullet"/>
      </w:pPr>
      <w:r>
        <w:t>OJK tightening of consumer financing LTV ratios — potential 3–5% volume drag on JACCS Finance.</w:t>
      </w:r>
    </w:p>
    <w:p>
      <w:pPr>
        <w:pStyle w:val="ListBullet"/>
      </w:pPr>
      <w:r>
        <w:t>Rupiah volatility against JPY (Honda CKD imports) — every IDR 200/JPY move = ~IDR 28B EBITDA impact.</w:t>
      </w:r>
    </w:p>
    <w:p>
      <w:pPr>
        <w:pStyle w:val="ListBullet"/>
      </w:pPr>
      <w:r>
        <w:t>Dealer principal succession risk — 18 of 266 dealer principals are over 65 with no documented succession plan.</w:t>
      </w:r>
    </w:p>
    <w:p>
      <w:pPr>
        <w:pStyle w:val="ListBullet"/>
      </w:pPr>
      <w:r>
        <w:t>Climate physical risk — flooding in lowland East Java affecting 9 dealerships and 1 logistics hub.</w:t>
      </w:r>
    </w:p>
    <w:p>
      <w:pPr>
        <w:pStyle w:val="Heading2"/>
      </w:pPr>
      <w:r>
        <w:t>Asks from the Board</w:t>
      </w:r>
    </w:p>
    <w:p>
      <w:pPr>
        <w:pStyle w:val="ListNumber"/>
      </w:pPr>
      <w:r>
        <w:t>Approval of FY26 Capex plan of IDR 720B (vs IDR 580B FY25).</w:t>
      </w:r>
    </w:p>
    <w:p>
      <w:pPr>
        <w:pStyle w:val="ListNumber"/>
      </w:pPr>
      <w:r>
        <w:t>Endorsement of the Sukuk mandate and arranger shortlist.</w:t>
      </w:r>
    </w:p>
    <w:p>
      <w:pPr>
        <w:pStyle w:val="ListNumber"/>
      </w:pPr>
      <w:r>
        <w:t>Sponsor for the dealer succession &amp; next-generation program.</w:t>
      </w:r>
    </w:p>
    <w:p/>
    <w:p>
      <w:r>
        <w:rPr>
          <w:b/>
        </w:rPr>
        <w:t>Signed,</w:t>
        <w:br/>
        <w:t>Group Chief Executive Officer</w:t>
        <w:br/>
      </w:r>
    </w:p>
    <w:p>
      <w:r>
        <w:rPr>
          <w:i/>
        </w:rPr>
        <w:t>Zava Motors – Jakarta, Indonesia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