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E3A8A"/>
          <w:sz w:val="32"/>
        </w:rPr>
        <w:t>MEDICAL EQUIPMENT MAINTENANCE &amp; SUPPORT SERVICES AGREEMENT</w:t>
      </w:r>
    </w:p>
    <w:p/>
    <w:p>
      <w:pPr>
        <w:jc w:val="center"/>
      </w:pPr>
      <w:r>
        <w:rPr>
          <w:b/>
        </w:rPr>
        <w:t xml:space="preserve">Contract Reference: </w:t>
      </w:r>
      <w:r>
        <w:t>CMG-CONTRACT-2026-TMS-018</w:t>
      </w:r>
    </w:p>
    <w:p>
      <w:pPr>
        <w:jc w:val="center"/>
      </w:pPr>
      <w:r>
        <w:rPr>
          <w:b/>
        </w:rPr>
        <w:t xml:space="preserve">Client: </w:t>
      </w:r>
      <w:r>
        <w:t>Zava Health Group Sdn Bhd (Company No. 123456-W)</w:t>
      </w:r>
    </w:p>
    <w:p>
      <w:pPr>
        <w:jc w:val="center"/>
      </w:pPr>
      <w:r>
        <w:rPr>
          <w:b/>
        </w:rPr>
        <w:t xml:space="preserve">Service Provider: </w:t>
      </w:r>
      <w:r>
        <w:t>TechMed Services Sdn Bhd (Company No. 789012-X)</w:t>
      </w:r>
    </w:p>
    <w:p>
      <w:pPr>
        <w:jc w:val="center"/>
      </w:pPr>
      <w:r>
        <w:rPr>
          <w:b/>
        </w:rPr>
        <w:t xml:space="preserve">Effective Date: </w:t>
      </w:r>
      <w:r>
        <w:t>1 April 2026</w:t>
      </w:r>
    </w:p>
    <w:p>
      <w:pPr>
        <w:jc w:val="center"/>
      </w:pPr>
      <w:r>
        <w:rPr>
          <w:b/>
        </w:rPr>
        <w:t xml:space="preserve">Annual Contract Value: </w:t>
      </w:r>
      <w:r>
        <w:t>RM 1,850,000</w:t>
      </w:r>
    </w:p>
    <w:p>
      <w:r>
        <w:br w:type="page"/>
      </w:r>
    </w:p>
    <w:p>
      <w:pPr>
        <w:pStyle w:val="Heading1"/>
      </w:pPr>
      <w:r>
        <w:rPr>
          <w:color w:val="1E3A8A"/>
        </w:rPr>
        <w:t>1. RECITALS</w:t>
      </w:r>
    </w:p>
    <w:p>
      <w:r>
        <w:rPr>
          <w:b w:val="0"/>
          <w:i w:val="0"/>
        </w:rPr>
        <w:t>A.  Zava Health Group Sdn Bhd ("Client") is a private healthcare group operating hospitals and specialist centres in Malaysia, requiring ongoing technical maintenance and support services for its medical equipment fleet.</w:t>
      </w:r>
    </w:p>
    <w:p>
      <w:r>
        <w:rPr>
          <w:b w:val="0"/>
          <w:i w:val="0"/>
        </w:rPr>
        <w:t>B.  TechMed Services Sdn Bhd ("Service Provider") is a licensed provider of medical equipment maintenance, repair, and technical support services with demonstrable expertise in the categories of equipment operated by the Client.</w:t>
      </w:r>
    </w:p>
    <w:p>
      <w:r>
        <w:rPr>
          <w:b w:val="0"/>
          <w:i w:val="0"/>
        </w:rPr>
        <w:t>C.  The parties wish to enter into this Agreement to set out the terms under which the Service Provider will provide the Services to the Client with effect from the Effective Date.</w:t>
      </w:r>
    </w:p>
    <w:p>
      <w:pPr>
        <w:pStyle w:val="Heading1"/>
      </w:pPr>
      <w:r>
        <w:rPr>
          <w:color w:val="1E3A8A"/>
        </w:rPr>
        <w:t>2. DEFINITIONS</w:t>
      </w:r>
    </w:p>
    <w:p>
      <w:r>
        <w:rPr>
          <w:b w:val="0"/>
          <w:i w:val="0"/>
        </w:rPr>
        <w:t>In this Agreement, unless the context otherwise requires:</w:t>
      </w:r>
    </w:p>
    <w:p>
      <w:pPr>
        <w:pStyle w:val="ListBullet"/>
      </w:pPr>
      <w:r>
        <w:rPr>
          <w:b/>
        </w:rPr>
        <w:t xml:space="preserve">"Agreement" </w:t>
      </w:r>
      <w:r>
        <w:t>means this Agreement including all Schedules.</w:t>
      </w:r>
    </w:p>
    <w:p>
      <w:pPr>
        <w:pStyle w:val="ListBullet"/>
      </w:pPr>
      <w:r>
        <w:rPr>
          <w:b/>
        </w:rPr>
        <w:t xml:space="preserve">"Equipment" </w:t>
      </w:r>
      <w:r>
        <w:t>means the medical devices listed in Schedule A.</w:t>
      </w:r>
    </w:p>
    <w:p>
      <w:pPr>
        <w:pStyle w:val="ListBullet"/>
      </w:pPr>
      <w:r>
        <w:rPr>
          <w:b/>
        </w:rPr>
        <w:t xml:space="preserve">"Services" </w:t>
      </w:r>
      <w:r>
        <w:t>means the maintenance, repair, monitoring, and helpdesk services in Clause 3.</w:t>
      </w:r>
    </w:p>
    <w:p>
      <w:pPr>
        <w:pStyle w:val="ListBullet"/>
      </w:pPr>
      <w:r>
        <w:rPr>
          <w:b/>
        </w:rPr>
        <w:t xml:space="preserve">"SLA" </w:t>
      </w:r>
      <w:r>
        <w:t>means the Service Level Agreement in Clause 4.</w:t>
      </w:r>
    </w:p>
    <w:p>
      <w:pPr>
        <w:pStyle w:val="ListBullet"/>
      </w:pPr>
      <w:r>
        <w:rPr>
          <w:b/>
        </w:rPr>
        <w:t xml:space="preserve">"Response Time" </w:t>
      </w:r>
      <w:r>
        <w:t>means elapsed time from Fault notification to technician engagement.</w:t>
      </w:r>
    </w:p>
    <w:p>
      <w:pPr>
        <w:pStyle w:val="ListBullet"/>
      </w:pPr>
      <w:r>
        <w:rPr>
          <w:b/>
        </w:rPr>
        <w:t xml:space="preserve">"Uptime" </w:t>
      </w:r>
      <w:r>
        <w:t>means percentage of scheduled operating hours Equipment is fully operational.</w:t>
      </w:r>
    </w:p>
    <w:p>
      <w:pPr>
        <w:pStyle w:val="ListBullet"/>
      </w:pPr>
      <w:r>
        <w:rPr>
          <w:b/>
        </w:rPr>
        <w:t xml:space="preserve">"Critical Fault" </w:t>
      </w:r>
      <w:r>
        <w:t>means a fault rendering Equipment wholly inoperable posing immediate risk to patient care.</w:t>
      </w:r>
    </w:p>
    <w:p>
      <w:pPr>
        <w:pStyle w:val="ListBullet"/>
      </w:pPr>
      <w:r>
        <w:rPr>
          <w:b/>
        </w:rPr>
        <w:t xml:space="preserve">"Major Fault" </w:t>
      </w:r>
      <w:r>
        <w:t>means a significant fault materially impairing Equipment performance.</w:t>
      </w:r>
    </w:p>
    <w:p>
      <w:pPr>
        <w:pStyle w:val="ListBullet"/>
      </w:pPr>
      <w:r>
        <w:rPr>
          <w:b/>
        </w:rPr>
        <w:t xml:space="preserve">"Minor Fault" </w:t>
      </w:r>
      <w:r>
        <w:t>means a fault causing partial limitation of functionality without immediate patient safety impact.</w:t>
      </w:r>
    </w:p>
    <w:p>
      <w:pPr>
        <w:pStyle w:val="ListBullet"/>
      </w:pPr>
      <w:r>
        <w:rPr>
          <w:b/>
        </w:rPr>
        <w:t xml:space="preserve">"Contract Year" </w:t>
      </w:r>
      <w:r>
        <w:t>means each twelve (12)-month period commencing on the Effective Date or any anniversary.</w:t>
      </w:r>
    </w:p>
    <w:p>
      <w:pPr>
        <w:pStyle w:val="Heading1"/>
      </w:pPr>
      <w:r>
        <w:rPr>
          <w:color w:val="1E3A8A"/>
        </w:rPr>
        <w:t>3. SCOPE OF SERVICES</w:t>
      </w:r>
    </w:p>
    <w:p>
      <w:pPr>
        <w:pStyle w:val="Heading2"/>
      </w:pPr>
      <w:r>
        <w:rPr>
          <w:color w:val="1D40AF"/>
        </w:rPr>
        <w:t>3.1  Planned Preventive Maintenance</w:t>
      </w:r>
    </w:p>
    <w:p>
      <w:r>
        <w:rPr>
          <w:b w:val="0"/>
          <w:i w:val="0"/>
        </w:rPr>
        <w:t>The Service Provider shall conduct scheduled preventive maintenance quarterly on all Equipment in Schedule A. Not less than 48 hours advance notice shall be given prior to each visit. A maintenance log shall be provided within five (5) business days of completion.</w:t>
      </w:r>
    </w:p>
    <w:p>
      <w:pPr>
        <w:pStyle w:val="Heading2"/>
      </w:pPr>
      <w:r>
        <w:rPr>
          <w:color w:val="1D40AF"/>
        </w:rPr>
        <w:t>3.2  Emergency Corrective Maintenance</w:t>
      </w:r>
    </w:p>
    <w:p>
      <w:r>
        <w:rPr>
          <w:b w:val="0"/>
          <w:i w:val="0"/>
        </w:rPr>
        <w:t>The Service Provider shall provide emergency corrective maintenance 24 hours per day, 7 days per week. Response times and resolution times shall be as specified in Clause 4.</w:t>
      </w:r>
    </w:p>
    <w:p>
      <w:pPr>
        <w:pStyle w:val="Heading2"/>
      </w:pPr>
      <w:r>
        <w:rPr>
          <w:color w:val="1D40AF"/>
        </w:rPr>
        <w:t>3.3  Consumables and Spare Parts</w:t>
      </w:r>
    </w:p>
    <w:p>
      <w:r>
        <w:rPr>
          <w:b w:val="0"/>
          <w:i w:val="0"/>
        </w:rPr>
        <w:t>All spare parts shall be OEM parts or parts expressly approved in writing by the Client. All replacement parts carry a minimum 90-day warranty from installation. The Service Provider shall maintain adequate stock of high-turnover parts to meet response time requirements.</w:t>
      </w:r>
    </w:p>
    <w:p>
      <w:pPr>
        <w:pStyle w:val="Heading2"/>
      </w:pPr>
      <w:r>
        <w:rPr>
          <w:color w:val="1D40AF"/>
        </w:rPr>
        <w:t>3.4  Remote Monitoring and Helpdesk</w:t>
      </w:r>
    </w:p>
    <w:p>
      <w:r>
        <w:rPr>
          <w:b w:val="0"/>
          <w:i w:val="0"/>
        </w:rPr>
        <w:t>The Service Provider shall provide remote monitoring during business hours (Monday to Friday, 8:00 AM to 6:00 PM Malaysian Standard Time). An after-hours emergency hotline shall be maintained at all times for Critical Fault notifications.</w:t>
      </w:r>
    </w:p>
    <w:p>
      <w:pPr>
        <w:pStyle w:val="Heading1"/>
      </w:pPr>
      <w:r>
        <w:rPr>
          <w:color w:val="1E3A8A"/>
        </w:rPr>
        <w:t>4. SERVICE LEVEL AGREEMENT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E3A8A" w:color="auto" w:val="clear"/>
          </w:tcPr>
          <w:p>
            <w:r>
              <w:rPr>
                <w:b/>
                <w:color w:val="FFFFFF"/>
              </w:rPr>
              <w:t>Fault Type</w:t>
            </w:r>
          </w:p>
        </w:tc>
        <w:tc>
          <w:tcPr>
            <w:tcW w:type="dxa" w:w="1728"/>
            <w:shd w:fill="1E3A8A" w:color="auto" w:val="clear"/>
          </w:tcPr>
          <w:p>
            <w:r>
              <w:rPr>
                <w:b/>
                <w:color w:val="FFFFFF"/>
              </w:rPr>
              <w:t>Response Time</w:t>
            </w:r>
          </w:p>
        </w:tc>
        <w:tc>
          <w:tcPr>
            <w:tcW w:type="dxa" w:w="1728"/>
            <w:shd w:fill="1E3A8A" w:color="auto" w:val="clear"/>
          </w:tcPr>
          <w:p>
            <w:r>
              <w:rPr>
                <w:b/>
                <w:color w:val="FFFFFF"/>
              </w:rPr>
              <w:t>Resolution Time</w:t>
            </w:r>
          </w:p>
        </w:tc>
        <w:tc>
          <w:tcPr>
            <w:tcW w:type="dxa" w:w="1728"/>
            <w:shd w:fill="1E3A8A" w:color="auto" w:val="clear"/>
          </w:tcPr>
          <w:p>
            <w:r>
              <w:rPr>
                <w:b/>
                <w:color w:val="FFFFFF"/>
              </w:rPr>
              <w:t>Uptime Target</w:t>
            </w:r>
          </w:p>
        </w:tc>
        <w:tc>
          <w:tcPr>
            <w:tcW w:type="dxa" w:w="1728"/>
            <w:shd w:fill="1E3A8A" w:color="auto" w:val="clear"/>
          </w:tcPr>
          <w:p>
            <w:r>
              <w:rPr>
                <w:b/>
                <w:color w:val="FFFFFF"/>
              </w:rPr>
              <w:t>Penalty</w:t>
            </w:r>
          </w:p>
        </w:tc>
      </w:tr>
      <w:tr>
        <w:tc>
          <w:tcPr>
            <w:tcW w:type="dxa" w:w="1728"/>
          </w:tcPr>
          <w:p>
            <w:r>
              <w:t>Critical Fault</w:t>
            </w:r>
          </w:p>
        </w:tc>
        <w:tc>
          <w:tcPr>
            <w:tcW w:type="dxa" w:w="1728"/>
          </w:tcPr>
          <w:p>
            <w:r>
              <w:t>4 hours</w:t>
            </w:r>
          </w:p>
        </w:tc>
        <w:tc>
          <w:tcPr>
            <w:tcW w:type="dxa" w:w="1728"/>
          </w:tcPr>
          <w:p>
            <w:r>
              <w:t>24 hours</w:t>
            </w:r>
          </w:p>
        </w:tc>
        <w:tc>
          <w:tcPr>
            <w:tcW w:type="dxa" w:w="1728"/>
          </w:tcPr>
          <w:p>
            <w:r>
              <w:t>99.5% per month</w:t>
            </w:r>
          </w:p>
        </w:tc>
        <w:tc>
          <w:tcPr>
            <w:tcW w:type="dxa" w:w="1728"/>
          </w:tcPr>
          <w:p>
            <w:r>
              <w:t>RM 5,000 per incident after 3 in any quarter</w:t>
            </w:r>
          </w:p>
        </w:tc>
      </w:tr>
      <w:tr>
        <w:tc>
          <w:tcPr>
            <w:tcW w:type="dxa" w:w="1728"/>
          </w:tcPr>
          <w:p>
            <w:r>
              <w:t>Major Fault</w:t>
            </w:r>
          </w:p>
        </w:tc>
        <w:tc>
          <w:tcPr>
            <w:tcW w:type="dxa" w:w="1728"/>
          </w:tcPr>
          <w:p>
            <w:r>
              <w:t>8 hours</w:t>
            </w:r>
          </w:p>
        </w:tc>
        <w:tc>
          <w:tcPr>
            <w:tcW w:type="dxa" w:w="1728"/>
          </w:tcPr>
          <w:p>
            <w:r>
              <w:t>72 hours</w:t>
            </w:r>
          </w:p>
        </w:tc>
        <w:tc>
          <w:tcPr>
            <w:tcW w:type="dxa" w:w="1728"/>
          </w:tcPr>
          <w:p>
            <w:r>
              <w:t>99.5% per month</w:t>
            </w:r>
          </w:p>
        </w:tc>
        <w:tc>
          <w:tcPr>
            <w:tcW w:type="dxa" w:w="1728"/>
          </w:tcPr>
          <w:p>
            <w:r>
              <w:t>RM 2,000 per incident after 5 in any quarter</w:t>
            </w:r>
          </w:p>
        </w:tc>
      </w:tr>
      <w:tr>
        <w:tc>
          <w:tcPr>
            <w:tcW w:type="dxa" w:w="1728"/>
          </w:tcPr>
          <w:p>
            <w:r>
              <w:t>Minor Fault</w:t>
            </w:r>
          </w:p>
        </w:tc>
        <w:tc>
          <w:tcPr>
            <w:tcW w:type="dxa" w:w="1728"/>
          </w:tcPr>
          <w:p>
            <w:r>
              <w:t>24 hours</w:t>
            </w:r>
          </w:p>
        </w:tc>
        <w:tc>
          <w:tcPr>
            <w:tcW w:type="dxa" w:w="1728"/>
          </w:tcPr>
          <w:p>
            <w:r>
              <w:t>7 business days</w:t>
            </w:r>
          </w:p>
        </w:tc>
        <w:tc>
          <w:tcPr>
            <w:tcW w:type="dxa" w:w="1728"/>
          </w:tcPr>
          <w:p>
            <w:r>
              <w:t>99.5% per month</w:t>
            </w:r>
          </w:p>
        </w:tc>
        <w:tc>
          <w:tcPr>
            <w:tcW w:type="dxa" w:w="1728"/>
          </w:tcPr>
          <w:p>
            <w:r>
              <w:t>Escalation to Major Fault tier</w:t>
            </w:r>
          </w:p>
        </w:tc>
      </w:tr>
    </w:tbl>
    <w:p/>
    <w:p>
      <w:r>
        <w:rPr>
          <w:b w:val="0"/>
          <w:i w:val="0"/>
        </w:rPr>
        <w:t>Monthly uptime reporting is mandatory. The Service Provider shall submit a signed uptime report to the Client's Head of Facilities by the fifth (5th) business day of each month.</w:t>
      </w:r>
    </w:p>
    <w:p>
      <w:pPr>
        <w:pStyle w:val="Heading1"/>
      </w:pPr>
      <w:r>
        <w:rPr>
          <w:color w:val="1E3A8A"/>
        </w:rPr>
        <w:t>5. CONTRACT TERM AND RENEWAL</w:t>
      </w:r>
    </w:p>
    <w:p>
      <w:r>
        <w:rPr>
          <w:b w:val="0"/>
          <w:i w:val="0"/>
        </w:rPr>
        <w:t>5.1  The initial term of this Agreement commences on 1 April 2026 and expires on 31 March 2029 ("Initial Term"), unless earlier terminated.</w:t>
      </w:r>
    </w:p>
    <w:p>
      <w:r>
        <w:rPr>
          <w:b w:val="0"/>
          <w:i w:val="0"/>
        </w:rPr>
        <w:t>5.2  Following expiry of the Initial Term, this Agreement shall automatically renew for successive one (1)-year periods unless either party provides written notice of non-renewal not less than sixty (60) days prior to the expiry of the then-current term. Such notice shall be delivered by registered post or electronic mail with read receipt.</w:t>
      </w:r>
    </w:p>
    <w:p>
      <w:r>
        <w:rPr>
          <w:b w:val="0"/>
          <w:i w:val="0"/>
        </w:rPr>
        <w:t>5.3  During any renewal period, all terms and conditions remain in full force and effect unless amended by written agreement.</w:t>
      </w:r>
    </w:p>
    <w:p>
      <w:pPr>
        <w:pStyle w:val="Heading1"/>
      </w:pPr>
      <w:r>
        <w:rPr>
          <w:color w:val="1E3A8A"/>
        </w:rPr>
        <w:t>6. FEES AND PAYMENT</w:t>
      </w:r>
    </w:p>
    <w:p>
      <w:r>
        <w:rPr>
          <w:b w:val="0"/>
          <w:i w:val="0"/>
        </w:rPr>
        <w:t>6.1  The Annual Base Fee is Ringgit Malaysia One Million Eight Hundred and Fifty Thousand (RM 1,850,000) per Contract Year, payable quarterly in advance in equal instalments of RM 462,500 per quarter, as set out in Schedule B.</w:t>
      </w:r>
    </w:p>
    <w:p>
      <w:r>
        <w:rPr>
          <w:b w:val="0"/>
          <w:i w:val="0"/>
        </w:rPr>
        <w:t>6.2  Consumables and spare parts shall be billed separately on a monthly basis at the Service Provider's cost plus a handling margin of twelve percent (12%).</w:t>
      </w:r>
    </w:p>
    <w:p>
      <w:r>
        <w:rPr>
          <w:b w:val="0"/>
          <w:i w:val="0"/>
        </w:rPr>
        <w:t>6.3  Payment is due within forty-five (45) days from the invoice date.</w:t>
      </w:r>
    </w:p>
    <w:p>
      <w:r>
        <w:rPr>
          <w:b w:val="0"/>
          <w:i w:val="0"/>
        </w:rPr>
        <w:t>6.4  Amounts outstanding after the due date shall accrue interest at 1.5% per month from the due date until actual payment.</w:t>
      </w:r>
    </w:p>
    <w:p>
      <w:r>
        <w:rPr>
          <w:b w:val="0"/>
          <w:i w:val="0"/>
        </w:rPr>
        <w:t>6.5  The Annual Base Fee shall not increase by more than five percent (5%) per annum commencing from the second Contract Year, subject to mutual agreement. Any proposed adjustment shall be notified in writing not less than ninety (90) days prior to the relevant Contract Year.</w:t>
      </w:r>
    </w:p>
    <w:p>
      <w:pPr>
        <w:pStyle w:val="Heading1"/>
      </w:pPr>
      <w:r>
        <w:rPr>
          <w:color w:val="1E3A8A"/>
        </w:rPr>
        <w:t>7. INTELLECTUAL PROPERTY</w:t>
      </w:r>
    </w:p>
    <w:p>
      <w:r>
        <w:rPr>
          <w:b w:val="0"/>
          <w:i w:val="0"/>
        </w:rPr>
        <w:t>7.1  The Service Provider retains all intellectual property rights in all software, diagnostic tools, monitoring systems, maintenance methodologies, and technical documentation used in providing the Services.</w:t>
      </w:r>
    </w:p>
    <w:p>
      <w:r>
        <w:rPr>
          <w:b w:val="0"/>
          <w:i w:val="0"/>
        </w:rPr>
        <w:t>7.2  The Client is granted a non-exclusive, non-transferable licence to use the Service Provider's proprietary systems solely for receiving the Services during the Term. This licence terminates automatically on expiry or termination.</w:t>
      </w:r>
    </w:p>
    <w:p>
      <w:r>
        <w:rPr>
          <w:b w:val="0"/>
          <w:i w:val="0"/>
        </w:rPr>
        <w:t>7.3  All service reports, maintenance records, diagnostic outputs, and performance data generated under this Agreement shall be and remain the sole property of the Service Provider. The Client shall have a limited right to access such data solely for its internal operational purposes during the Term.</w:t>
      </w:r>
    </w:p>
    <w:p>
      <w:pPr>
        <w:pStyle w:val="Heading1"/>
      </w:pPr>
      <w:r>
        <w:rPr>
          <w:color w:val="1E3A8A"/>
        </w:rPr>
        <w:t>8. CONFIDENTIALITY</w:t>
      </w:r>
    </w:p>
    <w:p>
      <w:r>
        <w:rPr>
          <w:b w:val="0"/>
          <w:i w:val="0"/>
        </w:rPr>
        <w:t>8.1  Each party shall keep confidential all Confidential Information received from the other and not disclose it to third parties without prior written consent. This obligation survives for five (5) years following expiry or termination.</w:t>
      </w:r>
    </w:p>
    <w:p>
      <w:r>
        <w:rPr>
          <w:b w:val="0"/>
          <w:i w:val="0"/>
        </w:rPr>
        <w:t>8.2  Confidentiality does not apply to information that: (a) is publicly available without breach; (b) was already known to the receiving party; (c) is independently developed; or (d) is required by law or court order.</w:t>
      </w:r>
    </w:p>
    <w:p>
      <w:pPr>
        <w:pStyle w:val="Heading1"/>
      </w:pPr>
      <w:r>
        <w:rPr>
          <w:color w:val="1E3A8A"/>
        </w:rPr>
        <w:t>9. LIMITATION OF LIABILITY</w:t>
      </w:r>
    </w:p>
    <w:p>
      <w:r>
        <w:rPr>
          <w:b w:val="0"/>
          <w:i w:val="0"/>
        </w:rPr>
        <w:t>9.1  The aggregate liability of either party for any and all claims arising under or in connection with this Agreement shall not exceed the total fees paid or payable in the six (6) months immediately preceding the event giving rise to the claim.</w:t>
      </w:r>
    </w:p>
    <w:p>
      <w:r>
        <w:rPr>
          <w:b w:val="0"/>
          <w:i w:val="0"/>
        </w:rPr>
        <w:t>9.2  Neither party shall be liable for indirect, consequential, special, incidental, or punitive loss or damage, including loss of profit, revenue, business, or data.</w:t>
      </w:r>
    </w:p>
    <w:p>
      <w:r>
        <w:rPr>
          <w:b w:val="0"/>
          <w:i w:val="0"/>
        </w:rPr>
        <w:t>9.3  Nothing herein limits either party's liability for: (a) death or personal injury caused by negligence; (b) fraud; or (c) any liability that cannot be excluded under Malaysian law.</w:t>
      </w:r>
    </w:p>
    <w:p>
      <w:pPr>
        <w:pStyle w:val="Heading1"/>
      </w:pPr>
      <w:r>
        <w:rPr>
          <w:color w:val="1E3A8A"/>
        </w:rPr>
        <w:t>10. INDEMNIFICATION</w:t>
      </w:r>
    </w:p>
    <w:p>
      <w:r>
        <w:rPr>
          <w:b w:val="0"/>
          <w:i w:val="0"/>
        </w:rPr>
        <w:t>10.1  Each party shall indemnify and hold harmless the other party and its officers, directors, employees, and agents from any claims arising from the indemnifying party's own negligence or wilful misconduct.</w:t>
      </w:r>
    </w:p>
    <w:p>
      <w:pPr>
        <w:pStyle w:val="Heading1"/>
      </w:pPr>
      <w:r>
        <w:rPr>
          <w:color w:val="1E3A8A"/>
        </w:rPr>
        <w:t>11. FORCE MAJEURE</w:t>
      </w:r>
    </w:p>
    <w:p>
      <w:r>
        <w:rPr>
          <w:b w:val="0"/>
          <w:i w:val="0"/>
        </w:rPr>
        <w:t>11.1  Neither party shall be in breach of this Agreement for any failure or delay caused by a Force Majeure Event, meaning any event beyond reasonable control including: acts of God; war; terrorism; pandemic or epidemic; government action; strikes; supply chain disruption; critical component shortages; and cyber incidents affecting critical national infrastructure.</w:t>
      </w:r>
    </w:p>
    <w:p>
      <w:r>
        <w:rPr>
          <w:b w:val="0"/>
          <w:i w:val="0"/>
        </w:rPr>
        <w:t>11.2  The affected party shall notify the other in writing within five (5) business days of the Force Majeure Event.</w:t>
      </w:r>
    </w:p>
    <w:p>
      <w:r>
        <w:rPr>
          <w:b w:val="0"/>
          <w:i w:val="0"/>
        </w:rPr>
        <w:t>11.3  If a Force Majeure Event continues for more than sixty (60) consecutive days, either party may terminate on thirty (30) days written notice without liability.</w:t>
      </w:r>
    </w:p>
    <w:p>
      <w:pPr>
        <w:pStyle w:val="Heading1"/>
      </w:pPr>
      <w:r>
        <w:rPr>
          <w:color w:val="1E3A8A"/>
        </w:rPr>
        <w:t>12. TERMINATION</w:t>
      </w:r>
    </w:p>
    <w:p>
      <w:r>
        <w:rPr>
          <w:b w:val="0"/>
          <w:i w:val="0"/>
        </w:rPr>
        <w:t>12.1  For Cause: Either party may terminate with thirty (30) days notice to cure material breach; immediate termination if breach is not cured.</w:t>
      </w:r>
    </w:p>
    <w:p>
      <w:r>
        <w:rPr>
          <w:b w:val="0"/>
          <w:i w:val="0"/>
        </w:rPr>
        <w:t>12.2  For Convenience: Either party may terminate by providing ninety (90) days written notice.</w:t>
      </w:r>
    </w:p>
    <w:p>
      <w:r>
        <w:rPr>
          <w:b w:val="0"/>
          <w:i w:val="0"/>
        </w:rPr>
        <w:t>12.3  For Insolvency: Either party may terminate immediately if the other becomes insolvent or enters administration.</w:t>
      </w:r>
    </w:p>
    <w:p>
      <w:r>
        <w:rPr>
          <w:b w:val="0"/>
          <w:i w:val="0"/>
        </w:rPr>
        <w:t>12.4  Transition: Upon termination or expiry, the Service Provider shall provide 60-day transition support at cost plus 10%.</w:t>
      </w:r>
    </w:p>
    <w:p>
      <w:pPr>
        <w:pStyle w:val="Heading1"/>
      </w:pPr>
      <w:r>
        <w:rPr>
          <w:color w:val="1E3A8A"/>
        </w:rPr>
        <w:t>13. GOVERNING LAW AND DISPUTE RESOLUTION</w:t>
      </w:r>
    </w:p>
    <w:p>
      <w:r>
        <w:rPr>
          <w:b w:val="0"/>
          <w:i w:val="0"/>
        </w:rPr>
        <w:t>13.1  This Agreement is governed by the laws of Malaysia.</w:t>
      </w:r>
    </w:p>
    <w:p>
      <w:r>
        <w:rPr>
          <w:b w:val="0"/>
          <w:i w:val="0"/>
        </w:rPr>
        <w:t>13.2  Disputes shall be resolved by arbitration administered by the Asian International Arbitration Centre (AIAC), seat Kuala Lumpur, three arbitrators, conducted in English.</w:t>
      </w:r>
    </w:p>
    <w:p>
      <w:pPr>
        <w:pStyle w:val="Heading1"/>
      </w:pPr>
      <w:r>
        <w:rPr>
          <w:color w:val="1E3A8A"/>
        </w:rPr>
        <w:t>14. GENERAL PROVISIONS</w:t>
      </w:r>
    </w:p>
    <w:p>
      <w:r>
        <w:rPr>
          <w:b w:val="0"/>
          <w:i w:val="0"/>
        </w:rPr>
        <w:t>14.1  Entire Agreement: This Agreement constitutes the entire agreement and supersedes all prior understandings.</w:t>
      </w:r>
    </w:p>
    <w:p>
      <w:r>
        <w:rPr>
          <w:b w:val="0"/>
          <w:i w:val="0"/>
        </w:rPr>
        <w:t>14.2  Amendments: No amendment is valid unless in writing signed by both parties.</w:t>
      </w:r>
    </w:p>
    <w:p>
      <w:r>
        <w:rPr>
          <w:b w:val="0"/>
          <w:i w:val="0"/>
        </w:rPr>
        <w:t>14.3  Assignment: Neither party may assign without prior written consent of the other.</w:t>
      </w:r>
    </w:p>
    <w:p>
      <w:r>
        <w:rPr>
          <w:b w:val="0"/>
          <w:i w:val="0"/>
        </w:rPr>
        <w:t>14.4  Severability: Invalid provisions do not affect remaining provisions.</w:t>
      </w:r>
    </w:p>
    <w:p>
      <w:r>
        <w:rPr>
          <w:b w:val="0"/>
          <w:i w:val="0"/>
        </w:rPr>
        <w:t>14.5  Waiver: Failure to exercise a right does not constitute a waiver.</w:t>
      </w:r>
    </w:p>
    <w:p>
      <w:pPr>
        <w:pStyle w:val="Heading1"/>
      </w:pPr>
      <w:r>
        <w:rPr>
          <w:color w:val="1E3A8A"/>
        </w:rPr>
        <w:t>15. SCHEDULES</w:t>
      </w:r>
    </w:p>
    <w:p>
      <w:pPr>
        <w:pStyle w:val="Heading2"/>
      </w:pPr>
      <w:r>
        <w:rPr>
          <w:color w:val="1D40AF"/>
        </w:rPr>
        <w:t>Schedule A - Equipment List (Placeholder)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563EB" w:color="auto" w:val="clear"/>
          </w:tcPr>
          <w:p>
            <w:r>
              <w:rPr>
                <w:b/>
                <w:color w:val="FFFFFF"/>
              </w:rPr>
              <w:t>Equipment ID</w:t>
            </w:r>
          </w:p>
        </w:tc>
        <w:tc>
          <w:tcPr>
            <w:tcW w:type="dxa" w:w="2160"/>
            <w:shd w:fill="2563EB" w:color="auto" w:val="clear"/>
          </w:tcPr>
          <w:p>
            <w:r>
              <w:rPr>
                <w:b/>
                <w:color w:val="FFFFFF"/>
              </w:rPr>
              <w:t>Description</w:t>
            </w:r>
          </w:p>
        </w:tc>
        <w:tc>
          <w:tcPr>
            <w:tcW w:type="dxa" w:w="2160"/>
            <w:shd w:fill="2563EB" w:color="auto" w:val="clear"/>
          </w:tcPr>
          <w:p>
            <w:r>
              <w:rPr>
                <w:b/>
                <w:color w:val="FFFFFF"/>
              </w:rPr>
              <w:t>Location</w:t>
            </w:r>
          </w:p>
        </w:tc>
        <w:tc>
          <w:tcPr>
            <w:tcW w:type="dxa" w:w="2160"/>
            <w:shd w:fill="2563EB" w:color="auto" w:val="clear"/>
          </w:tcPr>
          <w:p>
            <w:r>
              <w:rPr>
                <w:b/>
                <w:color w:val="FFFFFF"/>
              </w:rPr>
              <w:t>Service Category</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EQ-001</w:t>
            </w:r>
          </w:p>
        </w:tc>
        <w:tc>
          <w:tcPr>
            <w:tcW w:type="dxa" w:w="2160"/>
          </w:tcPr>
          <w:p>
            <w:r>
              <w:t>MRI Scanner 3T</w:t>
            </w:r>
          </w:p>
        </w:tc>
        <w:tc>
          <w:tcPr>
            <w:tcW w:type="dxa" w:w="2160"/>
          </w:tcPr>
          <w:p>
            <w:r>
              <w:t>Radiology Dept</w:t>
            </w:r>
          </w:p>
        </w:tc>
        <w:tc>
          <w:tcPr>
            <w:tcW w:type="dxa" w:w="2160"/>
          </w:tcPr>
          <w:p>
            <w:r>
              <w:t>Critical</w:t>
            </w:r>
          </w:p>
        </w:tc>
      </w:tr>
      <w:tr>
        <w:tc>
          <w:tcPr>
            <w:tcW w:type="dxa" w:w="2160"/>
          </w:tcPr>
          <w:p>
            <w:r>
              <w:t>EQ-002</w:t>
            </w:r>
          </w:p>
        </w:tc>
        <w:tc>
          <w:tcPr>
            <w:tcW w:type="dxa" w:w="2160"/>
          </w:tcPr>
          <w:p>
            <w:r>
              <w:t>CT Scanner 128-slice</w:t>
            </w:r>
          </w:p>
        </w:tc>
        <w:tc>
          <w:tcPr>
            <w:tcW w:type="dxa" w:w="2160"/>
          </w:tcPr>
          <w:p>
            <w:r>
              <w:t>Radiology Dept</w:t>
            </w:r>
          </w:p>
        </w:tc>
        <w:tc>
          <w:tcPr>
            <w:tcW w:type="dxa" w:w="2160"/>
          </w:tcPr>
          <w:p>
            <w:r>
              <w:t>Critical</w:t>
            </w:r>
          </w:p>
        </w:tc>
      </w:tr>
      <w:tr>
        <w:tc>
          <w:tcPr>
            <w:tcW w:type="dxa" w:w="2160"/>
          </w:tcPr>
          <w:p>
            <w:r>
              <w:t>EQ-003</w:t>
            </w:r>
          </w:p>
        </w:tc>
        <w:tc>
          <w:tcPr>
            <w:tcW w:type="dxa" w:w="2160"/>
          </w:tcPr>
          <w:p>
            <w:r>
              <w:t>ICU Monitoring Systems (x12)</w:t>
            </w:r>
          </w:p>
        </w:tc>
        <w:tc>
          <w:tcPr>
            <w:tcW w:type="dxa" w:w="2160"/>
          </w:tcPr>
          <w:p>
            <w:r>
              <w:t>ICU Ward</w:t>
            </w:r>
          </w:p>
        </w:tc>
        <w:tc>
          <w:tcPr>
            <w:tcW w:type="dxa" w:w="2160"/>
          </w:tcPr>
          <w:p>
            <w:r>
              <w:t>Critical</w:t>
            </w:r>
          </w:p>
        </w:tc>
      </w:tr>
    </w:tbl>
    <w:p/>
    <w:p>
      <w:pPr>
        <w:pStyle w:val="Heading2"/>
      </w:pPr>
      <w:r>
        <w:rPr>
          <w:color w:val="1D40AF"/>
        </w:rPr>
        <w:t>Schedule B - Fee Schedule</w:t>
      </w:r>
    </w:p>
    <w:tbl>
      <w:tblPr>
        <w:tblStyle w:val="TableGrid"/>
        <w:tblW w:type="auto" w:w="0"/>
        <w:tblLook w:firstColumn="1" w:firstRow="1" w:lastColumn="0" w:lastRow="0" w:noHBand="0" w:noVBand="1" w:val="04A0"/>
      </w:tblPr>
      <w:tblGrid>
        <w:gridCol w:w="2880"/>
        <w:gridCol w:w="2880"/>
        <w:gridCol w:w="2880"/>
      </w:tblGrid>
      <w:tr>
        <w:tc>
          <w:tcPr>
            <w:tcW w:type="dxa" w:w="2880"/>
            <w:shd w:fill="2563EB" w:color="auto" w:val="clear"/>
          </w:tcPr>
          <w:p>
            <w:r>
              <w:rPr>
                <w:b/>
                <w:color w:val="FFFFFF"/>
              </w:rPr>
              <w:t>Payment</w:t>
            </w:r>
          </w:p>
        </w:tc>
        <w:tc>
          <w:tcPr>
            <w:tcW w:type="dxa" w:w="2880"/>
            <w:shd w:fill="2563EB" w:color="auto" w:val="clear"/>
          </w:tcPr>
          <w:p>
            <w:r>
              <w:rPr>
                <w:b/>
                <w:color w:val="FFFFFF"/>
              </w:rPr>
              <w:t>Due Date</w:t>
            </w:r>
          </w:p>
        </w:tc>
        <w:tc>
          <w:tcPr>
            <w:tcW w:type="dxa" w:w="2880"/>
            <w:shd w:fill="2563EB" w:color="auto" w:val="clear"/>
          </w:tcPr>
          <w:p>
            <w:r>
              <w:rPr>
                <w:b/>
                <w:color w:val="FFFFFF"/>
              </w:rPr>
              <w:t>Amount (RM)</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Q1 2026</w:t>
            </w:r>
          </w:p>
        </w:tc>
        <w:tc>
          <w:tcPr>
            <w:tcW w:type="dxa" w:w="2880"/>
          </w:tcPr>
          <w:p>
            <w:r>
              <w:t>1 April 2026</w:t>
            </w:r>
          </w:p>
        </w:tc>
        <w:tc>
          <w:tcPr>
            <w:tcW w:type="dxa" w:w="2880"/>
          </w:tcPr>
          <w:p>
            <w:r>
              <w:t>462,500</w:t>
            </w:r>
          </w:p>
        </w:tc>
      </w:tr>
      <w:tr>
        <w:tc>
          <w:tcPr>
            <w:tcW w:type="dxa" w:w="2880"/>
          </w:tcPr>
          <w:p>
            <w:r>
              <w:t>Q2 2026</w:t>
            </w:r>
          </w:p>
        </w:tc>
        <w:tc>
          <w:tcPr>
            <w:tcW w:type="dxa" w:w="2880"/>
          </w:tcPr>
          <w:p>
            <w:r>
              <w:t>1 July 2026</w:t>
            </w:r>
          </w:p>
        </w:tc>
        <w:tc>
          <w:tcPr>
            <w:tcW w:type="dxa" w:w="2880"/>
          </w:tcPr>
          <w:p>
            <w:r>
              <w:t>462,500</w:t>
            </w:r>
          </w:p>
        </w:tc>
      </w:tr>
      <w:tr>
        <w:tc>
          <w:tcPr>
            <w:tcW w:type="dxa" w:w="2880"/>
          </w:tcPr>
          <w:p>
            <w:r>
              <w:t>Q3 2026</w:t>
            </w:r>
          </w:p>
        </w:tc>
        <w:tc>
          <w:tcPr>
            <w:tcW w:type="dxa" w:w="2880"/>
          </w:tcPr>
          <w:p>
            <w:r>
              <w:t>1 October 2026</w:t>
            </w:r>
          </w:p>
        </w:tc>
        <w:tc>
          <w:tcPr>
            <w:tcW w:type="dxa" w:w="2880"/>
          </w:tcPr>
          <w:p>
            <w:r>
              <w:t>462,500</w:t>
            </w:r>
          </w:p>
        </w:tc>
      </w:tr>
      <w:tr>
        <w:tc>
          <w:tcPr>
            <w:tcW w:type="dxa" w:w="2880"/>
          </w:tcPr>
          <w:p>
            <w:r>
              <w:t>Q4 2026</w:t>
            </w:r>
          </w:p>
        </w:tc>
        <w:tc>
          <w:tcPr>
            <w:tcW w:type="dxa" w:w="2880"/>
          </w:tcPr>
          <w:p>
            <w:r>
              <w:t>1 January 2027</w:t>
            </w:r>
          </w:p>
        </w:tc>
        <w:tc>
          <w:tcPr>
            <w:tcW w:type="dxa" w:w="2880"/>
          </w:tcPr>
          <w:p>
            <w:r>
              <w:t>462,500</w:t>
            </w:r>
          </w:p>
        </w:tc>
      </w:tr>
    </w:tbl>
    <w:p/>
    <w:p>
      <w:pPr>
        <w:pStyle w:val="Heading1"/>
      </w:pPr>
      <w:r>
        <w:rPr>
          <w:color w:val="1E3A8A"/>
        </w:rPr>
        <w:t>16. EXECUTION</w:t>
      </w:r>
    </w:p>
    <w:p>
      <w:r>
        <w:rPr>
          <w:b w:val="0"/>
          <w:i w:val="0"/>
        </w:rPr>
        <w:t>IN WITNESS WHEREOF, the parties have executed this Agreement as of the Effective Date.</w:t>
      </w:r>
    </w:p>
    <w:p/>
    <w:tbl>
      <w:tblPr>
        <w:tblStyle w:val="TableGrid"/>
        <w:tblW w:type="auto" w:w="0"/>
        <w:tblLook w:firstColumn="1" w:firstRow="1" w:lastColumn="0" w:lastRow="0" w:noHBand="0" w:noVBand="1" w:val="04A0"/>
      </w:tblPr>
      <w:tblGrid>
        <w:gridCol w:w="4320"/>
        <w:gridCol w:w="4320"/>
      </w:tblGrid>
      <w:tr>
        <w:tc>
          <w:tcPr>
            <w:tcW w:type="dxa" w:w="4320"/>
          </w:tcPr>
          <w:p>
            <w:r>
              <w:rPr>
                <w:b/>
              </w:rPr>
              <w:t>FOR AND ON BEHALF OF</w:t>
              <w:br/>
              <w:t>CONTOSO MEDICAL GROUP SDN BHD</w:t>
            </w:r>
          </w:p>
        </w:tc>
        <w:tc>
          <w:tcPr>
            <w:tcW w:type="dxa" w:w="4320"/>
          </w:tcPr>
          <w:p>
            <w:r>
              <w:rPr>
                <w:b/>
              </w:rPr>
              <w:t>FOR AND ON BEHALF OF</w:t>
              <w:br/>
              <w:t>TECHMED SERVICES SDN BHD</w:t>
            </w:r>
          </w:p>
        </w:tc>
      </w:tr>
      <w:tr>
        <w:tc>
          <w:tcPr>
            <w:tcW w:type="dxa" w:w="4320"/>
          </w:tcPr>
          <w:p>
            <w:r>
              <w:t>Authorised Signatory:</w:t>
            </w:r>
          </w:p>
        </w:tc>
        <w:tc>
          <w:tcPr>
            <w:tcW w:type="dxa" w:w="4320"/>
          </w:tcPr>
          <w:p>
            <w:r>
              <w:t>Authorised Signatory:</w:t>
            </w:r>
          </w:p>
        </w:tc>
      </w:tr>
      <w:tr>
        <w:tc>
          <w:tcPr>
            <w:tcW w:type="dxa" w:w="4320"/>
          </w:tcPr>
          <w:p>
            <w:r>
              <w:t>Name:</w:t>
            </w:r>
          </w:p>
        </w:tc>
        <w:tc>
          <w:tcPr>
            <w:tcW w:type="dxa" w:w="4320"/>
          </w:tcPr>
          <w:p>
            <w:r>
              <w:t>Name:</w:t>
            </w:r>
          </w:p>
        </w:tc>
      </w:tr>
      <w:tr>
        <w:tc>
          <w:tcPr>
            <w:tcW w:type="dxa" w:w="4320"/>
          </w:tcPr>
          <w:p>
            <w:r>
              <w:t>Designation:</w:t>
            </w:r>
          </w:p>
        </w:tc>
        <w:tc>
          <w:tcPr>
            <w:tcW w:type="dxa" w:w="4320"/>
          </w:tcPr>
          <w:p>
            <w:r>
              <w:t>Designation:</w:t>
            </w:r>
          </w:p>
        </w:tc>
      </w:tr>
      <w:tr>
        <w:tc>
          <w:tcPr>
            <w:tcW w:type="dxa" w:w="4320"/>
          </w:tcPr>
          <w:p>
            <w:r>
              <w:t>Date:</w:t>
            </w:r>
          </w:p>
        </w:tc>
        <w:tc>
          <w:tcPr>
            <w:tcW w:type="dxa" w:w="432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