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CONTOSO MEDICAL GROUP</w:t>
      </w:r>
    </w:p>
    <w:p>
      <w:pPr>
        <w:jc w:val="center"/>
      </w:pPr>
      <w:r>
        <w:rPr>
          <w:b/>
          <w:sz w:val="24"/>
        </w:rPr>
        <w:t>Finance &amp; Procurement Committee Meeting - Q1 FY2026 Review</w:t>
      </w:r>
    </w:p>
    <w:p>
      <w:pPr>
        <w:jc w:val="center"/>
      </w:pPr>
      <w:r>
        <w:rPr>
          <w:b/>
        </w:rPr>
        <w:t xml:space="preserve">Date: </w:t>
      </w:r>
      <w:r>
        <w:t>15 April 2026, 10:00 AM - 12:00 PM</w:t>
      </w:r>
    </w:p>
    <w:p>
      <w:pPr>
        <w:jc w:val="center"/>
      </w:pPr>
      <w:r>
        <w:rPr>
          <w:b/>
        </w:rPr>
        <w:t xml:space="preserve">Venue: </w:t>
      </w:r>
      <w:r>
        <w:t>Boardroom, Level 12, Zava Health HQ, Kuala Lumpur</w:t>
      </w:r>
    </w:p>
    <w:p>
      <w:pPr>
        <w:jc w:val="center"/>
      </w:pPr>
      <w:r>
        <w:rPr>
          <w:b/>
        </w:rPr>
        <w:t xml:space="preserve">Ref: </w:t>
      </w:r>
      <w:r>
        <w:t>FM-COM-2026-Q1-004</w:t>
      </w:r>
    </w:p>
    <w:p/>
    <w:p>
      <w:pPr>
        <w:pStyle w:val="Heading2"/>
      </w:pPr>
      <w:r>
        <w:rPr>
          <w:color w:val="1D40AF"/>
        </w:rPr>
        <w:t>ATTENDEES</w:t>
      </w:r>
    </w:p>
    <w:p>
      <w:pPr>
        <w:pStyle w:val="ListBullet"/>
      </w:pPr>
      <w:r>
        <w:t>Aisha Rahman - Group CFO &amp; Committee Chair</w:t>
      </w:r>
    </w:p>
    <w:p>
      <w:pPr>
        <w:pStyle w:val="ListBullet"/>
      </w:pPr>
      <w:r>
        <w:t>David Tan - Head of Finance</w:t>
      </w:r>
    </w:p>
    <w:p>
      <w:pPr>
        <w:pStyle w:val="ListBullet"/>
      </w:pPr>
      <w:r>
        <w:t>Priya Nair - Head of Procurement</w:t>
      </w:r>
    </w:p>
    <w:p>
      <w:pPr>
        <w:pStyle w:val="ListBullet"/>
      </w:pPr>
      <w:r>
        <w:t>Dr. James Wong - Medical Director</w:t>
      </w:r>
    </w:p>
    <w:p>
      <w:pPr>
        <w:pStyle w:val="ListBullet"/>
      </w:pPr>
      <w:r>
        <w:t>Farah Ismail - Head of Supply Chain</w:t>
      </w:r>
    </w:p>
    <w:p>
      <w:pPr>
        <w:pStyle w:val="ListBullet"/>
      </w:pPr>
      <w:r>
        <w:t>Kevin Loh - Finance Controller</w:t>
      </w:r>
    </w:p>
    <w:p>
      <w:pPr>
        <w:pStyle w:val="ListBullet"/>
      </w:pPr>
      <w:r>
        <w:t>Sarah Chen - Senior Procurement Manager</w:t>
      </w:r>
    </w:p>
    <w:p>
      <w:pPr>
        <w:pStyle w:val="ListBullet"/>
      </w:pPr>
      <w:r>
        <w:t>Nurul Ain Binti Razak - Committee Secretary (Recorder)</w:t>
      </w:r>
    </w:p>
    <w:p>
      <w:r>
        <w:rPr>
          <w:b w:val="0"/>
          <w:i w:val="0"/>
        </w:rPr>
        <w:t>Apologies: Rajan Krishnamurthy (Head of IT - overseas travel)</w:t>
      </w:r>
    </w:p>
    <w:p/>
    <w:p>
      <w:pPr>
        <w:pStyle w:val="Heading1"/>
      </w:pPr>
      <w:r>
        <w:rPr>
          <w:color w:val="1E3A8A"/>
        </w:rPr>
        <w:t>AGENDA ITEM 1: Q1 FY2026 Financial Performance Review</w:t>
      </w:r>
    </w:p>
    <w:p>
      <w:r>
        <w:rPr>
          <w:b w:val="0"/>
          <w:i/>
        </w:rPr>
        <w:t>[20 minutes | Presented by Kevin Loh, Finance Controller]</w:t>
      </w:r>
    </w:p>
    <w:p/>
    <w:p>
      <w:r>
        <w:rPr>
          <w:b/>
          <w:i w:val="0"/>
        </w:rPr>
        <w:t>KEVIN LOH:</w:t>
      </w:r>
    </w:p>
    <w:p>
      <w:r>
        <w:rPr>
          <w:b w:val="0"/>
          <w:i w:val="0"/>
        </w:rPr>
        <w:t>Good morning, everyone. Q1 FY2026 total group revenue came in at RM 24.6 million against a budget of RM 23.7 million - a favourable variance of RM 900,000 or plus 3.8%. EBITDA margin landed at 22.1%, ahead of our 21.5% target. However, behind the revenue outperformance, we are seeing significant opex pressure. Total Q1 opex was RM 19.2 million versus a budget of RM 18.3 million - that is a 4.9% overrun or RM 900,000 adverse.</w:t>
      </w:r>
    </w:p>
    <w:p/>
    <w:p>
      <w:r>
        <w:rPr>
          <w:b/>
          <w:i w:val="0"/>
        </w:rPr>
        <w:t>AISHA RAHMAN:</w:t>
      </w:r>
    </w:p>
    <w:p>
      <w:r>
        <w:rPr>
          <w:b w:val="0"/>
          <w:i w:val="0"/>
        </w:rPr>
        <w:t>The revenue beat is essentially masking our cost problem. We are running 4.9% over on opex. If revenue growth slows in Q2, we will have a much more visible issue. David, which departments are causing you the most concern?</w:t>
      </w:r>
    </w:p>
    <w:p/>
    <w:p>
      <w:r>
        <w:rPr>
          <w:b/>
          <w:i w:val="0"/>
        </w:rPr>
        <w:t>DAVID TAN:</w:t>
      </w:r>
    </w:p>
    <w:p>
      <w:r>
        <w:rPr>
          <w:b w:val="0"/>
          <w:i w:val="0"/>
        </w:rPr>
        <w:t>Pharmacy is the most concerning. Their opex variance is the worst on a percentage basis and it is structural - tied to the USD/RM rate movement. We budgeted at 4.45 and Q1 average came in at 4.72. That is a 6% adverse movement and roughly 40% of our pharmaceutical procurement is in USD. Surgery has the highest absolute dollar variance. Medical Supplies also has a double-digit overrun.</w:t>
      </w:r>
    </w:p>
    <w:p/>
    <w:p>
      <w:r>
        <w:rPr>
          <w:b/>
          <w:i w:val="0"/>
        </w:rPr>
        <w:t>AISHA RAHMAN:</w:t>
      </w:r>
    </w:p>
    <w:p>
      <w:r>
        <w:rPr>
          <w:b w:val="0"/>
          <w:i w:val="0"/>
        </w:rPr>
        <w:t>Let us go department by department in Item 2. Kevin - any bright spots?</w:t>
      </w:r>
    </w:p>
    <w:p/>
    <w:p>
      <w:r>
        <w:rPr>
          <w:b/>
          <w:i w:val="0"/>
        </w:rPr>
        <w:t>KEVIN LOH:</w:t>
      </w:r>
    </w:p>
    <w:p>
      <w:r>
        <w:rPr>
          <w:b w:val="0"/>
          <w:i w:val="0"/>
        </w:rPr>
        <w:t>Radiology is performing very well - revenue RM 3.1 million versus budget RM 2.9 million, EBITDA margin 28.4%. The new CT scanner commissioned in January has already exceeded its projected throughput. Outpatient is also ahead - we will cover that when we get to the new cardiologist.</w:t>
      </w:r>
    </w:p>
    <w:p/>
    <w:p>
      <w:pPr>
        <w:pStyle w:val="Heading1"/>
      </w:pPr>
      <w:r>
        <w:rPr>
          <w:color w:val="1E3A8A"/>
        </w:rPr>
        <w:t>AGENDA ITEM 2: Budget Variance Deep Dive - Department by Department</w:t>
      </w:r>
    </w:p>
    <w:p>
      <w:r>
        <w:rPr>
          <w:b w:val="0"/>
          <w:i/>
        </w:rPr>
        <w:t>[25 minutes | Discussion led by Aisha Rahman]</w:t>
      </w:r>
    </w:p>
    <w:p/>
    <w:p>
      <w:r>
        <w:rPr>
          <w:b/>
          <w:i w:val="0"/>
        </w:rPr>
        <w:t>KEVIN LOH:</w:t>
      </w:r>
    </w:p>
    <w:p>
      <w:r>
        <w:rPr>
          <w:b w:val="0"/>
          <w:i w:val="0"/>
        </w:rPr>
        <w:t>Surgery opex Q1: RM 4.8 million against a budget of RM 4.3 million - plus 11.6% overrun, approximately RM 500,000 adverse. The primary driver is locum specialist fees, RM 320,000 above budget for the quarter alone. James, clinical context please.</w:t>
      </w:r>
    </w:p>
    <w:p/>
    <w:p>
      <w:r>
        <w:rPr>
          <w:b/>
          <w:i w:val="0"/>
        </w:rPr>
        <w:t>DR. JAMES WONG:</w:t>
      </w:r>
    </w:p>
    <w:p>
      <w:r>
        <w:rPr>
          <w:b w:val="0"/>
          <w:i w:val="0"/>
        </w:rPr>
        <w:t>The root cause is straightforward. We had two senior consultants - our lead cardiothoracic surgeon and one orthopaedic specialist - both go on extended medical leave in the same quarter. Both are expected back in Q3, but in the interim we have had to engage locum consultants to maintain theatre scheduling and avoid patient cancellations. We cannot reduce theatre throughput - we have contractual obligations with referral GPs and patients on waiting lists.</w:t>
      </w:r>
    </w:p>
    <w:p/>
    <w:p>
      <w:r>
        <w:rPr>
          <w:b/>
          <w:i w:val="0"/>
        </w:rPr>
        <w:t>AISHA RAHMAN:</w:t>
      </w:r>
    </w:p>
    <w:p>
      <w:r>
        <w:rPr>
          <w:b w:val="0"/>
          <w:i w:val="0"/>
        </w:rPr>
        <w:t>I understand the clinical necessity, James. But RM 320,000 adverse in one quarter on locum alone is not sustainable. I need you to submit a formal staffing plan by 30 April - covering return-to-work timelines, contingency if timelines slip, and your recommendation on whether we should accelerate permanent recruitment.</w:t>
      </w:r>
    </w:p>
    <w:p/>
    <w:p>
      <w:r>
        <w:rPr>
          <w:b/>
          <w:i w:val="0"/>
        </w:rPr>
        <w:t>DR. JAMES WONG:</w:t>
      </w:r>
    </w:p>
    <w:p>
      <w:r>
        <w:rPr>
          <w:b w:val="0"/>
          <w:i w:val="0"/>
        </w:rPr>
        <w:t>Absolutely. I will have a detailed plan to you by 30 April.</w:t>
      </w:r>
    </w:p>
    <w:p/>
    <w:p>
      <w:r>
        <w:rPr>
          <w:b/>
          <w:i w:val="0"/>
        </w:rPr>
        <w:t>DAVID TAN:</w:t>
      </w:r>
    </w:p>
    <w:p>
      <w:r>
        <w:rPr>
          <w:b w:val="0"/>
          <w:i w:val="0"/>
        </w:rPr>
        <w:t>Pharmacy opex Q1: RM 2.4 million versus budget RM 2.1 million - plus 14.3% overrun. Almost entirely the forex issue. Our imported pharmaceutical spend at current rates is running RM 280,000 per month above budget. Priya has been in dialogue with Pharmaniaga about a rate lock for Q2.</w:t>
      </w:r>
    </w:p>
    <w:p/>
    <w:p>
      <w:r>
        <w:rPr>
          <w:b/>
          <w:i w:val="0"/>
        </w:rPr>
        <w:t>PRIYA NAIR:</w:t>
      </w:r>
    </w:p>
    <w:p>
      <w:r>
        <w:rPr>
          <w:b w:val="0"/>
          <w:i w:val="0"/>
        </w:rPr>
        <w:t>We are in active negotiation with Pharmaniaga. Their current position is they can fix pricing for 90 days with a volume commitment of plus 10% above our run-rate. I recommend we accept - the alternative is to continue absorbing spot rate volatility at roughly RM 280,000 per month. I would like the committee's mandate to agree the Pharmaniaga Q2 price lock.</w:t>
      </w:r>
    </w:p>
    <w:p/>
    <w:p>
      <w:r>
        <w:rPr>
          <w:b/>
          <w:i w:val="0"/>
        </w:rPr>
        <w:t>AISHA RAHMAN:</w:t>
      </w:r>
    </w:p>
    <w:p>
      <w:r>
        <w:rPr>
          <w:b w:val="0"/>
          <w:i w:val="0"/>
        </w:rPr>
        <w:t>Agreed - Priya, you have the mandate. Please finalise by 15 May. David - please include a currency exposure analysis in the Q2 Board pack.</w:t>
      </w:r>
    </w:p>
    <w:p/>
    <w:p>
      <w:r>
        <w:rPr>
          <w:b/>
          <w:i w:val="0"/>
        </w:rPr>
        <w:t>KEVIN LOH:</w:t>
      </w:r>
    </w:p>
    <w:p>
      <w:r>
        <w:rPr>
          <w:b w:val="0"/>
          <w:i w:val="0"/>
        </w:rPr>
        <w:t>Medical Supplies opex Q1: RM 1.65 million against a budget of RM 1.42 million - 16.2% overrun. The primary cause was the Zuellig supply chain disruption in January - a three-week outage at their central warehouse forced us to source emergency supplies from non-preferred suppliers at significantly higher unit costs. Sarah.</w:t>
      </w:r>
    </w:p>
    <w:p/>
    <w:p>
      <w:r>
        <w:rPr>
          <w:b/>
          <w:i w:val="0"/>
        </w:rPr>
        <w:t>SARAH CHEN:</w:t>
      </w:r>
    </w:p>
    <w:p>
      <w:r>
        <w:rPr>
          <w:b w:val="0"/>
          <w:i w:val="0"/>
        </w:rPr>
        <w:t>During the three-week Zuellig outage in January, we sourced from three alternative suppliers at a price premium of 18-22% above contract rates. We also incurred express freight costs. Total Q1 impact: approximately RM 230,000 of emergency procurement cost. The fundamental issue is single-source dependency on Zuellig for several critical consumable categories. We need a formal dual-sourcing policy.</w:t>
      </w:r>
    </w:p>
    <w:p/>
    <w:p>
      <w:r>
        <w:rPr>
          <w:b/>
          <w:i w:val="0"/>
        </w:rPr>
        <w:t>FARAH ISMAIL:</w:t>
      </w:r>
    </w:p>
    <w:p>
      <w:r>
        <w:rPr>
          <w:b w:val="0"/>
          <w:i w:val="0"/>
        </w:rPr>
        <w:t>I can draft a dual-sourcing proposal. We should identify the top 20 SKUs by spend and criticality and require at least two qualified suppliers for each. I propose a 30 April deadline for the initial policy framework.</w:t>
      </w:r>
    </w:p>
    <w:p/>
    <w:p>
      <w:r>
        <w:rPr>
          <w:b/>
          <w:i w:val="0"/>
        </w:rPr>
        <w:t>AISHA RAHMAN:</w:t>
      </w:r>
    </w:p>
    <w:p>
      <w:r>
        <w:rPr>
          <w:b w:val="0"/>
          <w:i w:val="0"/>
        </w:rPr>
        <w:t>Farah, please own that action. Radiology and Outpatient - Kevin.</w:t>
      </w:r>
    </w:p>
    <w:p/>
    <w:p>
      <w:r>
        <w:rPr>
          <w:b/>
          <w:i w:val="0"/>
        </w:rPr>
        <w:t>KEVIN LOH:</w:t>
      </w:r>
    </w:p>
    <w:p>
      <w:r>
        <w:rPr>
          <w:b w:val="0"/>
          <w:i w:val="0"/>
        </w:rPr>
        <w:t>Radiology: revenue RM 3.1 million versus budget RM 2.9 million, plus 6.9%. The new CT scanner became fully productive from January. EBITDA margin for the department was 28.4% - well above our 24% target. No corrective action needed. Outpatient Clinic: revenue RM 3.6 million versus budget RM 3.4 million, plus 5.9%. The new cardiologist who joined in February has been extremely productive, and we are already seeing a halo effect on downstream diagnostic and pharmacy revenue from cardiology referrals. ICU is broadly on track - slightly higher acuity in Months 9 to 11 drove cost per day above budget, but nothing requiring escalation.</w:t>
      </w:r>
    </w:p>
    <w:p/>
    <w:p>
      <w:r>
        <w:rPr>
          <w:b/>
          <w:i w:val="0"/>
        </w:rPr>
        <w:t>AISHA RAHMAN:</w:t>
      </w:r>
    </w:p>
    <w:p>
      <w:r>
        <w:rPr>
          <w:b w:val="0"/>
          <w:i w:val="0"/>
        </w:rPr>
        <w:t>Resolutions for Item 2: Corrective action plans required for Surgery, Pharmacy, and Medical Supplies by 30 April. Actions monitored monthly; escalated to Board if full-year forecast exceeds 10% threshold on opex variance for any single department.</w:t>
      </w:r>
    </w:p>
    <w:p/>
    <w:p>
      <w:pPr>
        <w:pStyle w:val="Heading1"/>
      </w:pPr>
      <w:r>
        <w:rPr>
          <w:color w:val="1E3A8A"/>
        </w:rPr>
        <w:t>AGENDA ITEM 3: Procurement Savings - Q1 FY2026</w:t>
      </w:r>
    </w:p>
    <w:p>
      <w:r>
        <w:rPr>
          <w:b w:val="0"/>
          <w:i/>
        </w:rPr>
        <w:t>[15 minutes | Presented by Priya Nair, Head of Procurement]</w:t>
      </w:r>
    </w:p>
    <w:p/>
    <w:p>
      <w:r>
        <w:rPr>
          <w:b/>
          <w:i w:val="0"/>
        </w:rPr>
        <w:t>PRIYA NAIR:</w:t>
      </w:r>
    </w:p>
    <w:p>
      <w:r>
        <w:rPr>
          <w:b w:val="0"/>
          <w:i w:val="0"/>
        </w:rPr>
        <w:t>Q1 procurement savings: RM 187,000 against a target of RM 340,000 - 55% attainment. Pharmaceutical savings were negative at minus RM 48,000 due to the price increases. Medical devices delivered RM 112,000 against a target of RM 180,000. Surgical consumables: RM 123,000 against target RM 120,000 - on track. Two proposals for approval. First, accelerate RFQ-2026-MC-042, our annual medical consumables contract review - now urgent given supply chain issues; Sarah will present the recommendation under Item 5. Second, I propose we explore a Group Purchasing Consortium with three other KL private hospitals. Preliminary discussions suggest 8-12% cost reduction on shared categories. I would like to commission a formal feasibility study with a 31 May deadline.</w:t>
      </w:r>
    </w:p>
    <w:p/>
    <w:p>
      <w:r>
        <w:rPr>
          <w:b/>
          <w:i w:val="0"/>
        </w:rPr>
        <w:t>AISHA RAHMAN:</w:t>
      </w:r>
    </w:p>
    <w:p>
      <w:r>
        <w:rPr>
          <w:b w:val="0"/>
          <w:i w:val="0"/>
        </w:rPr>
        <w:t>Both proposals approved. Priya, please own the GPC feasibility study and present at the Q2 committee.</w:t>
      </w:r>
    </w:p>
    <w:p/>
    <w:p>
      <w:pPr>
        <w:pStyle w:val="Heading1"/>
      </w:pPr>
      <w:r>
        <w:rPr>
          <w:color w:val="1E3A8A"/>
        </w:rPr>
        <w:t>AGENDA ITEM 4: Vendor Contract Review - TechMed Services</w:t>
      </w:r>
    </w:p>
    <w:p>
      <w:r>
        <w:rPr>
          <w:b w:val="0"/>
          <w:i/>
        </w:rPr>
        <w:t>[20 minutes | Presented by Sarah Chen, Senior Procurement Manager]</w:t>
      </w:r>
    </w:p>
    <w:p/>
    <w:p>
      <w:r>
        <w:rPr>
          <w:b/>
          <w:i w:val="0"/>
        </w:rPr>
        <w:t>SARAH CHEN:</w:t>
      </w:r>
    </w:p>
    <w:p>
      <w:r>
        <w:rPr>
          <w:b w:val="0"/>
          <w:i w:val="0"/>
        </w:rPr>
        <w:t>The TechMed Services maintenance contract - CMG-CONTRACT-2026-TMS-018 - is in its first Contract Year under a three-year initial term to 31 March 2029. Legal has not reviewed this contract, and our team has identified four significant clauses requiring attention.</w:t>
      </w:r>
    </w:p>
    <w:p/>
    <w:p>
      <w:r>
        <w:rPr>
          <w:b w:val="0"/>
          <w:i w:val="0"/>
        </w:rPr>
        <w:t>First: the auto-renewal clause. Clause 5.2 specifies sixty (60) days notice of non-renewal. Our Finance &amp; Procurement Policy Manual, Section 5, requires a minimum of ninety (90) days. This is non-compliant with our own policy. We risk inadvertent renewal if we miss the 60-day window. I strongly recommend we calendar 1 January 2029 as a hard deadline - ninety days before the 60-day notice date.</w:t>
      </w:r>
    </w:p>
    <w:p/>
    <w:p>
      <w:r>
        <w:rPr>
          <w:b w:val="0"/>
          <w:i w:val="0"/>
        </w:rPr>
        <w:t>Second: the liability cap. Clause 9.1 limits aggregate liability to fees paid in the preceding six months - that is RM 462,500. Our policy minimum is twelve months of contract fees (RM 925,000), and for a contract at this value, our preferred position is twenty-four months. This is HIGH RISK non-compliance.</w:t>
      </w:r>
    </w:p>
    <w:p/>
    <w:p>
      <w:r>
        <w:rPr>
          <w:b w:val="0"/>
          <w:i w:val="0"/>
        </w:rPr>
        <w:t>Third: data ownership. Clause 7.3 states that all service reports, maintenance records, diagnostic outputs, and performance data are the sole property of TechMed Services. This directly contradicts our policy requiring the Client to retain full ownership of all data generated under any service contract. This is both a data governance risk and a potential regulatory compliance issue.</w:t>
      </w:r>
    </w:p>
    <w:p/>
    <w:p>
      <w:r>
        <w:rPr>
          <w:b w:val="0"/>
          <w:i w:val="0"/>
        </w:rPr>
        <w:t>Fourth: price escalation. Clause 6.5 allows TechMed to increase the annual fee by up to 5% per annum from Year 2. Our policy maximum is 3%. Medium risk - the compounding impact over three years is material.</w:t>
      </w:r>
    </w:p>
    <w:p/>
    <w:p>
      <w:r>
        <w:rPr>
          <w:b/>
          <w:i w:val="0"/>
        </w:rPr>
        <w:t>AISHA RAHMAN:</w:t>
      </w:r>
    </w:p>
    <w:p>
      <w:r>
        <w:rPr>
          <w:b w:val="0"/>
          <w:i w:val="0"/>
        </w:rPr>
        <w:t>Three HIGH RISK items in one contract is not acceptable. David, I want a full legal review of the TechMed contract - particularly the IP and liability clauses - completed by 30 May, with proposed counter-clauses and a recommendation on whether we seek contract amendment now or at renewal.</w:t>
      </w:r>
    </w:p>
    <w:p/>
    <w:p>
      <w:r>
        <w:rPr>
          <w:b/>
          <w:i w:val="0"/>
        </w:rPr>
        <w:t>DAVID TAN:</w:t>
      </w:r>
    </w:p>
    <w:p>
      <w:r>
        <w:rPr>
          <w:b w:val="0"/>
          <w:i w:val="0"/>
        </w:rPr>
        <w:t>Understood. I will engage Legal this week. Kevin - please formally calendar 1 January 2029 as a critical compliance date.</w:t>
      </w:r>
    </w:p>
    <w:p/>
    <w:p>
      <w:r>
        <w:rPr>
          <w:b/>
          <w:i w:val="0"/>
        </w:rPr>
        <w:t>KEVIN LOH:</w:t>
      </w:r>
    </w:p>
    <w:p>
      <w:r>
        <w:rPr>
          <w:b w:val="0"/>
          <w:i w:val="0"/>
        </w:rPr>
        <w:t>Done - I will put it in the system today with recurring alerts from six months out.</w:t>
      </w:r>
    </w:p>
    <w:p/>
    <w:p>
      <w:r>
        <w:rPr>
          <w:b/>
          <w:i w:val="0"/>
        </w:rPr>
        <w:t>SARAH CHEN:</w:t>
      </w:r>
    </w:p>
    <w:p>
      <w:r>
        <w:rPr>
          <w:b w:val="0"/>
          <w:i w:val="0"/>
        </w:rPr>
        <w:t>On SLA performance: TechMed Q1 uptime was 94.1% against the contracted 99.5% target. We had two Critical Fault incidents resolved in 28 hours each, against the 24-hour SLA. I recommend we issue a formal SLA performance notice by 22 April, requesting TechMed's root cause analysis and corrective action plan within 14 days.</w:t>
      </w:r>
    </w:p>
    <w:p/>
    <w:p>
      <w:r>
        <w:rPr>
          <w:b/>
          <w:i w:val="0"/>
        </w:rPr>
        <w:t>AISHA RAHMAN:</w:t>
      </w:r>
    </w:p>
    <w:p>
      <w:r>
        <w:rPr>
          <w:b w:val="0"/>
          <w:i w:val="0"/>
        </w:rPr>
        <w:t>Issue the notice by 22 April.</w:t>
      </w:r>
    </w:p>
    <w:p/>
    <w:p>
      <w:pPr>
        <w:pStyle w:val="Heading1"/>
      </w:pPr>
      <w:r>
        <w:rPr>
          <w:color w:val="1E3A8A"/>
        </w:rPr>
        <w:t>AGENDA ITEM 5: Supplier Quotation Evaluation - RFQ-2026-MC-042</w:t>
      </w:r>
    </w:p>
    <w:p>
      <w:r>
        <w:rPr>
          <w:b w:val="0"/>
          <w:i/>
        </w:rPr>
        <w:t>[15 minutes | Presented by Sarah Chen, Senior Procurement Manager]</w:t>
      </w:r>
    </w:p>
    <w:p/>
    <w:p>
      <w:r>
        <w:rPr>
          <w:b/>
          <w:i w:val="0"/>
        </w:rPr>
        <w:t>SARAH CHEN:</w:t>
      </w:r>
    </w:p>
    <w:p>
      <w:r>
        <w:rPr>
          <w:b w:val="0"/>
          <w:i w:val="0"/>
        </w:rPr>
        <w:t>RFQ-2026-MC-042 covers our annual medical consumables supply contract - approximately 480,000 units per year. Eight suppliers submitted quotations. One supplier, Qualimed Sdn Bhd, has been disqualified at evaluation stage: no ISO 13485 certification, financial rating C, and delivery reliability only 91.3%. Policy requires ISO 13485 for medical consumables and prohibits awarding to C-rated suppliers without CFO waiver.</w:t>
      </w:r>
    </w:p>
    <w:p/>
    <w:p>
      <w:r>
        <w:rPr>
          <w:b w:val="0"/>
          <w:i w:val="0"/>
        </w:rPr>
        <w:t>Of the seven qualifying suppliers, our weighted evaluation using the standard 35-25-20-10-5-5 scorecard places Zuellig Pharma Malaysia as the highest scorer, followed by Pharmaniaga Supply as the alternative. Zuellig annual contract value: RM 2,328,000 at RM 4.85 per unit, 30-day payment terms, 24-month warranty, 5-day lead time. Despite the premium unit price, delivery reliability of 99.2%, ISO certification, and support score of 4.8 out of 5 place them significantly ahead on quality and reliability criteria.</w:t>
      </w:r>
    </w:p>
    <w:p/>
    <w:p>
      <w:r>
        <w:rPr>
          <w:b/>
          <w:i w:val="0"/>
        </w:rPr>
        <w:t>DR. JAMES WONG:</w:t>
      </w:r>
    </w:p>
    <w:p>
      <w:r>
        <w:rPr>
          <w:b w:val="0"/>
          <w:i w:val="0"/>
        </w:rPr>
        <w:t>The January outage was a logistics issue, not a product quality issue. Clinical teams have zero product quality complaints with Zuellig. I strongly support the recommendation, but I echo the dual-sourcing requirement - we should contractually require Zuellig to maintain a secondary fulfilment option for our top 20 critical SKUs.</w:t>
      </w:r>
    </w:p>
    <w:p/>
    <w:p>
      <w:r>
        <w:rPr>
          <w:b/>
          <w:i w:val="0"/>
        </w:rPr>
        <w:t>PRIYA NAIR:</w:t>
      </w:r>
    </w:p>
    <w:p>
      <w:r>
        <w:rPr>
          <w:b w:val="0"/>
          <w:i w:val="0"/>
        </w:rPr>
        <w:t>We can negotiate a dual-sourcing provision - requiring Zuellig to document a secondary supplier relationship and notify us within 24 hours of any supply chain event affecting critical items. I will include that as a contract condition in the award letter.</w:t>
      </w:r>
    </w:p>
    <w:p/>
    <w:p>
      <w:r>
        <w:rPr>
          <w:b/>
          <w:i w:val="0"/>
        </w:rPr>
        <w:t>AISHA RAHMAN:</w:t>
      </w:r>
    </w:p>
    <w:p>
      <w:r>
        <w:rPr>
          <w:b w:val="0"/>
          <w:i w:val="0"/>
        </w:rPr>
        <w:t>Resolution: award RFQ-2026-MC-042 to Zuellig Pharma Malaysia at RM 2,328,000 annual contract value, 30-day payment terms, subject to the dual-sourcing clause. I will sign the award letter by 22 April.</w:t>
      </w:r>
    </w:p>
    <w:p/>
    <w:p>
      <w:pPr>
        <w:pStyle w:val="Heading1"/>
      </w:pPr>
      <w:r>
        <w:rPr>
          <w:color w:val="1E3A8A"/>
        </w:rPr>
        <w:t>AGENDA ITEM 6: CAPEX Tracker - Q1 FY2026</w:t>
      </w:r>
    </w:p>
    <w:p>
      <w:r>
        <w:rPr>
          <w:b w:val="0"/>
          <w:i/>
        </w:rPr>
        <w:t>[10 minutes | Presented by Kevin Loh, Finance Controller]</w:t>
      </w:r>
    </w:p>
    <w:p/>
    <w:p>
      <w:r>
        <w:rPr>
          <w:b/>
          <w:i w:val="0"/>
        </w:rPr>
        <w:t>KEVIN LOH:</w:t>
      </w:r>
    </w:p>
    <w:p>
      <w:r>
        <w:rPr>
          <w:b w:val="0"/>
          <w:i w:val="0"/>
        </w:rPr>
        <w:t>Three items on the CAPEX tracker. First: CT Scanner replacement for Radiology, RM 2.8 million - requires Board Finance Committee approval as it exceeds RM 500,000. Paper submitted for Board meeting 28 April. Second: ICU monitoring system upgrade, RM 1.1 million - pending clinical justification from Dr. James. Third: Finance ERP upgrade - SAP S/4HANA - at RM 3.4 million, IT business case to be presented at Q2 committee. Committed Q1 CAPEX: RM 890,000 against a Q1 budget of RM 1.2 million - running underspent on CAPEX.</w:t>
      </w:r>
    </w:p>
    <w:p/>
    <w:p>
      <w:r>
        <w:rPr>
          <w:b/>
          <w:i w:val="0"/>
        </w:rPr>
        <w:t>AISHA RAHMAN:</w:t>
      </w:r>
    </w:p>
    <w:p>
      <w:r>
        <w:rPr>
          <w:b w:val="0"/>
          <w:i w:val="0"/>
        </w:rPr>
        <w:t>James - ICU monitoring upgrade. When can we expect the clinical justification?</w:t>
      </w:r>
    </w:p>
    <w:p/>
    <w:p>
      <w:r>
        <w:rPr>
          <w:b/>
          <w:i w:val="0"/>
        </w:rPr>
        <w:t>DR. JAMES WONG:</w:t>
      </w:r>
    </w:p>
    <w:p>
      <w:r>
        <w:rPr>
          <w:b w:val="0"/>
          <w:i w:val="0"/>
        </w:rPr>
        <w:t>I will have the clinical justification to Kevin by 30 April. The ICU team has been requesting this for two years. Current monitoring systems are end-of-life and flagged as high maintenance risk for FY2027 by biomedical engineering.</w:t>
      </w:r>
    </w:p>
    <w:p/>
    <w:p>
      <w:pPr>
        <w:pStyle w:val="Heading1"/>
      </w:pPr>
      <w:r>
        <w:rPr>
          <w:color w:val="1E3A8A"/>
        </w:rPr>
        <w:t>AGENDA ITEM 7: ANY OTHER BUSINESS</w:t>
      </w:r>
    </w:p>
    <w:p>
      <w:r>
        <w:rPr>
          <w:b/>
          <w:i w:val="0"/>
        </w:rPr>
        <w:t>NURUL AIN BINTI RAZAK:</w:t>
      </w:r>
    </w:p>
    <w:p>
      <w:r>
        <w:rPr>
          <w:b w:val="0"/>
          <w:i w:val="0"/>
        </w:rPr>
        <w:t>The Ministry of Health has issued Circular MOH/JKN/2026-04 requiring all private hospital groups to register on the MyProcurement national e-procurement platform by 30 June 2026. Sarah, this falls under your team's remit.</w:t>
      </w:r>
    </w:p>
    <w:p/>
    <w:p>
      <w:r>
        <w:rPr>
          <w:b/>
          <w:i w:val="0"/>
        </w:rPr>
        <w:t>SARAH CHEN:</w:t>
      </w:r>
    </w:p>
    <w:p>
      <w:r>
        <w:rPr>
          <w:b w:val="0"/>
          <w:i w:val="0"/>
        </w:rPr>
        <w:t>Understood. I will initiate registration this week and aim to complete by 31 May, giving us a month's buffer before the MOH deadline. I will flag any IT dependencies to Rajan on his return.</w:t>
      </w:r>
    </w:p>
    <w:p/>
    <w:p>
      <w:r>
        <w:rPr>
          <w:b/>
          <w:i w:val="0"/>
        </w:rPr>
        <w:t>AISHA RAHMAN:</w:t>
      </w:r>
    </w:p>
    <w:p>
      <w:r>
        <w:rPr>
          <w:b w:val="0"/>
          <w:i w:val="0"/>
        </w:rPr>
        <w:t>Good. Meeting closed at 11:58 AM. Thank you all. Nurul Ain, please circulate minutes within 48 hours.</w:t>
      </w:r>
    </w:p>
    <w:p>
      <w:r>
        <w:rPr>
          <w:b w:val="0"/>
          <w:i/>
        </w:rPr>
        <w:t>Meeting closed at 11:58 AM.</w:t>
      </w:r>
    </w:p>
    <w:p>
      <w:r>
        <w:br w:type="page"/>
      </w:r>
    </w:p>
    <w:p>
      <w:pPr>
        <w:pStyle w:val="Heading1"/>
      </w:pPr>
      <w:r>
        <w:rPr>
          <w:color w:val="1E3A8A"/>
        </w:rPr>
        <w:t>ACTION ITEMS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3A8A" w:color="auto" w:val="clear"/>
          </w:tcPr>
          <w:p>
            <w:r>
              <w:rPr>
                <w:b/>
                <w:color w:val="FFFFFF"/>
              </w:rPr>
              <w:t>No</w:t>
            </w:r>
          </w:p>
        </w:tc>
        <w:tc>
          <w:tcPr>
            <w:tcW w:type="dxa" w:w="1728"/>
            <w:shd w:fill="1E3A8A" w:color="auto" w:val="clear"/>
          </w:tcPr>
          <w:p>
            <w:r>
              <w:rPr>
                <w:b/>
                <w:color w:val="FFFFFF"/>
              </w:rPr>
              <w:t>Action</w:t>
            </w:r>
          </w:p>
        </w:tc>
        <w:tc>
          <w:tcPr>
            <w:tcW w:type="dxa" w:w="1728"/>
            <w:shd w:fill="1E3A8A" w:color="auto" w:val="clear"/>
          </w:tcPr>
          <w:p>
            <w:r>
              <w:rPr>
                <w:b/>
                <w:color w:val="FFFFFF"/>
              </w:rPr>
              <w:t>Owner</w:t>
            </w:r>
          </w:p>
        </w:tc>
        <w:tc>
          <w:tcPr>
            <w:tcW w:type="dxa" w:w="1728"/>
            <w:shd w:fill="1E3A8A" w:color="auto" w:val="clear"/>
          </w:tcPr>
          <w:p>
            <w:r>
              <w:rPr>
                <w:b/>
                <w:color w:val="FFFFFF"/>
              </w:rPr>
              <w:t>Due Date</w:t>
            </w:r>
          </w:p>
        </w:tc>
        <w:tc>
          <w:tcPr>
            <w:tcW w:type="dxa" w:w="1728"/>
            <w:shd w:fill="1E3A8A" w:color="auto" w:val="clear"/>
          </w:tcPr>
          <w:p>
            <w:r>
              <w:rPr>
                <w:b/>
                <w:color w:val="FFFFFF"/>
              </w:rPr>
              <w:t>Status</w:t>
            </w:r>
          </w:p>
        </w:tc>
      </w:tr>
      <w:tr>
        <w:tc>
          <w:tcPr>
            <w:tcW w:type="dxa" w:w="1728"/>
          </w:tcPr>
          <w:p>
            <w:r>
              <w:t>A1</w:t>
            </w:r>
          </w:p>
        </w:tc>
        <w:tc>
          <w:tcPr>
            <w:tcW w:type="dxa" w:w="1728"/>
          </w:tcPr>
          <w:p>
            <w:r>
              <w:t>Submit staffing plan for Surgery locum - return-to-work timelines and permanent recruitment recommendation</w:t>
            </w:r>
          </w:p>
        </w:tc>
        <w:tc>
          <w:tcPr>
            <w:tcW w:type="dxa" w:w="1728"/>
          </w:tcPr>
          <w:p>
            <w:r>
              <w:t>Dr. James Wong</w:t>
            </w:r>
          </w:p>
        </w:tc>
        <w:tc>
          <w:tcPr>
            <w:tcW w:type="dxa" w:w="1728"/>
          </w:tcPr>
          <w:p>
            <w:r>
              <w:t>30 Apr 2026</w:t>
            </w:r>
          </w:p>
        </w:tc>
        <w:tc>
          <w:tcPr>
            <w:tcW w:type="dxa" w:w="1728"/>
          </w:tcPr>
          <w:p>
            <w:r>
              <w:t>Open</w:t>
            </w:r>
          </w:p>
        </w:tc>
      </w:tr>
      <w:tr>
        <w:tc>
          <w:tcPr>
            <w:tcW w:type="dxa" w:w="1728"/>
          </w:tcPr>
          <w:p>
            <w:r>
              <w:t>A2</w:t>
            </w:r>
          </w:p>
        </w:tc>
        <w:tc>
          <w:tcPr>
            <w:tcW w:type="dxa" w:w="1728"/>
          </w:tcPr>
          <w:p>
            <w:r>
              <w:t>Renegotiate Pharmaniaga contract for Q2 price lock (90-day, +10% volume commitment)</w:t>
            </w:r>
          </w:p>
        </w:tc>
        <w:tc>
          <w:tcPr>
            <w:tcW w:type="dxa" w:w="1728"/>
          </w:tcPr>
          <w:p>
            <w:r>
              <w:t>Priya Nair</w:t>
            </w:r>
          </w:p>
        </w:tc>
        <w:tc>
          <w:tcPr>
            <w:tcW w:type="dxa" w:w="1728"/>
          </w:tcPr>
          <w:p>
            <w:r>
              <w:t>15 May 2026</w:t>
            </w:r>
          </w:p>
        </w:tc>
        <w:tc>
          <w:tcPr>
            <w:tcW w:type="dxa" w:w="1728"/>
          </w:tcPr>
          <w:p>
            <w:r>
              <w:t>Open</w:t>
            </w:r>
          </w:p>
        </w:tc>
      </w:tr>
      <w:tr>
        <w:tc>
          <w:tcPr>
            <w:tcW w:type="dxa" w:w="1728"/>
          </w:tcPr>
          <w:p>
            <w:r>
              <w:t>A3</w:t>
            </w:r>
          </w:p>
        </w:tc>
        <w:tc>
          <w:tcPr>
            <w:tcW w:type="dxa" w:w="1728"/>
          </w:tcPr>
          <w:p>
            <w:r>
              <w:t>Present dual-sourcing policy framework for top 20 critical consumable SKUs</w:t>
            </w:r>
          </w:p>
        </w:tc>
        <w:tc>
          <w:tcPr>
            <w:tcW w:type="dxa" w:w="1728"/>
          </w:tcPr>
          <w:p>
            <w:r>
              <w:t>Farah Ismail</w:t>
            </w:r>
          </w:p>
        </w:tc>
        <w:tc>
          <w:tcPr>
            <w:tcW w:type="dxa" w:w="1728"/>
          </w:tcPr>
          <w:p>
            <w:r>
              <w:t>30 Apr 2026</w:t>
            </w:r>
          </w:p>
        </w:tc>
        <w:tc>
          <w:tcPr>
            <w:tcW w:type="dxa" w:w="1728"/>
          </w:tcPr>
          <w:p>
            <w:r>
              <w:t>Open</w:t>
            </w:r>
          </w:p>
        </w:tc>
      </w:tr>
      <w:tr>
        <w:tc>
          <w:tcPr>
            <w:tcW w:type="dxa" w:w="1728"/>
          </w:tcPr>
          <w:p>
            <w:r>
              <w:t>A4</w:t>
            </w:r>
          </w:p>
        </w:tc>
        <w:tc>
          <w:tcPr>
            <w:tcW w:type="dxa" w:w="1728"/>
          </w:tcPr>
          <w:p>
            <w:r>
              <w:t>Commission and deliver GPC feasibility study (3 KL private hospitals)</w:t>
            </w:r>
          </w:p>
        </w:tc>
        <w:tc>
          <w:tcPr>
            <w:tcW w:type="dxa" w:w="1728"/>
          </w:tcPr>
          <w:p>
            <w:r>
              <w:t>Priya Nair</w:t>
            </w:r>
          </w:p>
        </w:tc>
        <w:tc>
          <w:tcPr>
            <w:tcW w:type="dxa" w:w="1728"/>
          </w:tcPr>
          <w:p>
            <w:r>
              <w:t>31 May 2026</w:t>
            </w:r>
          </w:p>
        </w:tc>
        <w:tc>
          <w:tcPr>
            <w:tcW w:type="dxa" w:w="1728"/>
          </w:tcPr>
          <w:p>
            <w:r>
              <w:t>Open</w:t>
            </w:r>
          </w:p>
        </w:tc>
      </w:tr>
      <w:tr>
        <w:tc>
          <w:tcPr>
            <w:tcW w:type="dxa" w:w="1728"/>
          </w:tcPr>
          <w:p>
            <w:r>
              <w:t>A5</w:t>
            </w:r>
          </w:p>
        </w:tc>
        <w:tc>
          <w:tcPr>
            <w:tcW w:type="dxa" w:w="1728"/>
          </w:tcPr>
          <w:p>
            <w:r>
              <w:t>Full legal review of TechMed contract - IP, liability, price escalation clauses; proposed counter-clauses</w:t>
            </w:r>
          </w:p>
        </w:tc>
        <w:tc>
          <w:tcPr>
            <w:tcW w:type="dxa" w:w="1728"/>
          </w:tcPr>
          <w:p>
            <w:r>
              <w:t>David Tan / Legal</w:t>
            </w:r>
          </w:p>
        </w:tc>
        <w:tc>
          <w:tcPr>
            <w:tcW w:type="dxa" w:w="1728"/>
          </w:tcPr>
          <w:p>
            <w:r>
              <w:t>30 May 2026</w:t>
            </w:r>
          </w:p>
        </w:tc>
        <w:tc>
          <w:tcPr>
            <w:tcW w:type="dxa" w:w="1728"/>
          </w:tcPr>
          <w:p>
            <w:r>
              <w:t>Open</w:t>
            </w:r>
          </w:p>
        </w:tc>
      </w:tr>
      <w:tr>
        <w:tc>
          <w:tcPr>
            <w:tcW w:type="dxa" w:w="1728"/>
          </w:tcPr>
          <w:p>
            <w:r>
              <w:t>A6</w:t>
            </w:r>
          </w:p>
        </w:tc>
        <w:tc>
          <w:tcPr>
            <w:tcW w:type="dxa" w:w="1728"/>
          </w:tcPr>
          <w:p>
            <w:r>
              <w:t>Issue formal SLA performance notice to TechMed (incl. RCA request, 14-day response)</w:t>
            </w:r>
          </w:p>
        </w:tc>
        <w:tc>
          <w:tcPr>
            <w:tcW w:type="dxa" w:w="1728"/>
          </w:tcPr>
          <w:p>
            <w:r>
              <w:t>Sarah Chen</w:t>
            </w:r>
          </w:p>
        </w:tc>
        <w:tc>
          <w:tcPr>
            <w:tcW w:type="dxa" w:w="1728"/>
          </w:tcPr>
          <w:p>
            <w:r>
              <w:t>22 Apr 2026</w:t>
            </w:r>
          </w:p>
        </w:tc>
        <w:tc>
          <w:tcPr>
            <w:tcW w:type="dxa" w:w="1728"/>
          </w:tcPr>
          <w:p>
            <w:r>
              <w:t>Open</w:t>
            </w:r>
          </w:p>
        </w:tc>
      </w:tr>
      <w:tr>
        <w:tc>
          <w:tcPr>
            <w:tcW w:type="dxa" w:w="1728"/>
          </w:tcPr>
          <w:p>
            <w:r>
              <w:t>A7</w:t>
            </w:r>
          </w:p>
        </w:tc>
        <w:tc>
          <w:tcPr>
            <w:tcW w:type="dxa" w:w="1728"/>
          </w:tcPr>
          <w:p>
            <w:r>
              <w:t>Calendar TechMed contract auto-renewal hard deadline (1 Jan 2029) in Finance compliance calendar</w:t>
            </w:r>
          </w:p>
        </w:tc>
        <w:tc>
          <w:tcPr>
            <w:tcW w:type="dxa" w:w="1728"/>
          </w:tcPr>
          <w:p>
            <w:r>
              <w:t>Kevin Loh</w:t>
            </w:r>
          </w:p>
        </w:tc>
        <w:tc>
          <w:tcPr>
            <w:tcW w:type="dxa" w:w="1728"/>
          </w:tcPr>
          <w:p>
            <w:r>
              <w:t>Immediate</w:t>
            </w:r>
          </w:p>
        </w:tc>
        <w:tc>
          <w:tcPr>
            <w:tcW w:type="dxa" w:w="1728"/>
          </w:tcPr>
          <w:p>
            <w:r>
              <w:t>Open</w:t>
            </w:r>
          </w:p>
        </w:tc>
      </w:tr>
      <w:tr>
        <w:tc>
          <w:tcPr>
            <w:tcW w:type="dxa" w:w="1728"/>
          </w:tcPr>
          <w:p>
            <w:r>
              <w:t>A8</w:t>
            </w:r>
          </w:p>
        </w:tc>
        <w:tc>
          <w:tcPr>
            <w:tcW w:type="dxa" w:w="1728"/>
          </w:tcPr>
          <w:p>
            <w:r>
              <w:t>Sign RFQ-2026-MC-042 award letter to Zuellig Pharma Malaysia (incl. dual-sourcing clause)</w:t>
            </w:r>
          </w:p>
        </w:tc>
        <w:tc>
          <w:tcPr>
            <w:tcW w:type="dxa" w:w="1728"/>
          </w:tcPr>
          <w:p>
            <w:r>
              <w:t>Aisha Rahman</w:t>
            </w:r>
          </w:p>
        </w:tc>
        <w:tc>
          <w:tcPr>
            <w:tcW w:type="dxa" w:w="1728"/>
          </w:tcPr>
          <w:p>
            <w:r>
              <w:t>22 Apr 2026</w:t>
            </w:r>
          </w:p>
        </w:tc>
        <w:tc>
          <w:tcPr>
            <w:tcW w:type="dxa" w:w="1728"/>
          </w:tcPr>
          <w:p>
            <w:r>
              <w:t>Open</w:t>
            </w:r>
          </w:p>
        </w:tc>
      </w:tr>
      <w:tr>
        <w:tc>
          <w:tcPr>
            <w:tcW w:type="dxa" w:w="1728"/>
          </w:tcPr>
          <w:p>
            <w:r>
              <w:t>A9</w:t>
            </w:r>
          </w:p>
        </w:tc>
        <w:tc>
          <w:tcPr>
            <w:tcW w:type="dxa" w:w="1728"/>
          </w:tcPr>
          <w:p>
            <w:r>
              <w:t>Submit ICU monitoring system clinical justification to Finance Controller</w:t>
            </w:r>
          </w:p>
        </w:tc>
        <w:tc>
          <w:tcPr>
            <w:tcW w:type="dxa" w:w="1728"/>
          </w:tcPr>
          <w:p>
            <w:r>
              <w:t>Dr. James Wong</w:t>
            </w:r>
          </w:p>
        </w:tc>
        <w:tc>
          <w:tcPr>
            <w:tcW w:type="dxa" w:w="1728"/>
          </w:tcPr>
          <w:p>
            <w:r>
              <w:t>30 Apr 2026</w:t>
            </w:r>
          </w:p>
        </w:tc>
        <w:tc>
          <w:tcPr>
            <w:tcW w:type="dxa" w:w="1728"/>
          </w:tcPr>
          <w:p>
            <w:r>
              <w:t>Open</w:t>
            </w:r>
          </w:p>
        </w:tc>
      </w:tr>
      <w:tr>
        <w:tc>
          <w:tcPr>
            <w:tcW w:type="dxa" w:w="1728"/>
          </w:tcPr>
          <w:p>
            <w:r>
              <w:t>A10</w:t>
            </w:r>
          </w:p>
        </w:tc>
        <w:tc>
          <w:tcPr>
            <w:tcW w:type="dxa" w:w="1728"/>
          </w:tcPr>
          <w:p>
            <w:r>
              <w:t>Complete MOH MyProcurement platform registration</w:t>
            </w:r>
          </w:p>
        </w:tc>
        <w:tc>
          <w:tcPr>
            <w:tcW w:type="dxa" w:w="1728"/>
          </w:tcPr>
          <w:p>
            <w:r>
              <w:t>Sarah Chen</w:t>
            </w:r>
          </w:p>
        </w:tc>
        <w:tc>
          <w:tcPr>
            <w:tcW w:type="dxa" w:w="1728"/>
          </w:tcPr>
          <w:p>
            <w:r>
              <w:t>31 May 2026</w:t>
            </w:r>
          </w:p>
        </w:tc>
        <w:tc>
          <w:tcPr>
            <w:tcW w:type="dxa" w:w="1728"/>
          </w:tcPr>
          <w:p>
            <w:r>
              <w:t>Open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