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A8A"/>
          <w:sz w:val="36"/>
        </w:rPr>
        <w:t>FINANCE &amp; PROCUREMENT POLICY MANUAL</w:t>
      </w:r>
    </w:p>
    <w:p>
      <w:pPr>
        <w:jc w:val="center"/>
      </w:pPr>
      <w:r>
        <w:rPr>
          <w:b w:val="0"/>
          <w:color w:val="1D40AF"/>
          <w:sz w:val="28"/>
        </w:rPr>
        <w:t>Zava Health Group Sdn Bhd</w:t>
      </w:r>
    </w:p>
    <w:p/>
    <w:p>
      <w:pPr>
        <w:jc w:val="center"/>
      </w:pPr>
      <w:r>
        <w:rPr>
          <w:b/>
        </w:rPr>
        <w:t xml:space="preserve">Version: </w:t>
      </w:r>
      <w:r>
        <w:t>3.2</w:t>
      </w:r>
    </w:p>
    <w:p>
      <w:pPr>
        <w:jc w:val="center"/>
      </w:pPr>
      <w:r>
        <w:rPr>
          <w:b/>
        </w:rPr>
        <w:t xml:space="preserve">Effective Date: </w:t>
      </w:r>
      <w:r>
        <w:t>1 January 2026</w:t>
      </w:r>
    </w:p>
    <w:p>
      <w:pPr>
        <w:jc w:val="center"/>
      </w:pPr>
      <w:r>
        <w:rPr>
          <w:b/>
        </w:rPr>
        <w:t xml:space="preserve">Approved by: </w:t>
      </w:r>
      <w:r>
        <w:t>Board Finance Committee</w:t>
      </w:r>
    </w:p>
    <w:p>
      <w:pPr>
        <w:jc w:val="center"/>
      </w:pPr>
      <w:r>
        <w:rPr>
          <w:b/>
        </w:rPr>
        <w:t xml:space="preserve">Review Date: </w:t>
      </w:r>
      <w:r>
        <w:t>31 December 2026</w:t>
      </w:r>
    </w:p>
    <w:p>
      <w:r>
        <w:br w:type="page"/>
      </w:r>
    </w:p>
    <w:p>
      <w:pPr>
        <w:pStyle w:val="Heading1"/>
      </w:pPr>
      <w:r>
        <w:rPr>
          <w:color w:val="1E3A8A"/>
        </w:rPr>
        <w:t>SECTION 1: CAPITAL EXPENDITURE (CAPEX) APPROVAL AUTHORITY</w:t>
      </w:r>
    </w:p>
    <w:p>
      <w:r>
        <w:rPr>
          <w:b w:val="0"/>
          <w:i w:val="0"/>
        </w:rPr>
        <w:t>1.1  Purpose</w:t>
      </w:r>
    </w:p>
    <w:p>
      <w:r>
        <w:rPr>
          <w:b w:val="0"/>
          <w:i w:val="0"/>
        </w:rPr>
        <w:t>This section establishes the authorisation framework for all capital expenditure, ensuring commitments are appropriately reviewed, approved, and aligned to the Group's strategic and operational objectives.</w:t>
      </w:r>
    </w:p>
    <w:p/>
    <w:p>
      <w:r>
        <w:rPr>
          <w:b/>
          <w:i w:val="0"/>
        </w:rPr>
        <w:t>1.2  Approval Authority Matrix</w:t>
      </w:r>
    </w:p>
    <w:tbl>
      <w:tblPr>
        <w:tblStyle w:val="TableGrid"/>
        <w:tblW w:type="auto" w:w="0"/>
        <w:tblLook w:firstColumn="1" w:firstRow="1" w:lastColumn="0" w:lastRow="0" w:noHBand="0" w:noVBand="1" w:val="04A0"/>
      </w:tblPr>
      <w:tblGrid>
        <w:gridCol w:w="2880"/>
        <w:gridCol w:w="2880"/>
        <w:gridCol w:w="2880"/>
      </w:tblGrid>
      <w:tr>
        <w:tc>
          <w:tcPr>
            <w:tcW w:type="dxa" w:w="2880"/>
            <w:shd w:fill="1E3A8A" w:color="auto" w:val="clear"/>
          </w:tcPr>
          <w:p>
            <w:r>
              <w:rPr>
                <w:b/>
                <w:color w:val="FFFFFF"/>
              </w:rPr>
              <w:t>CAPEX Value</w:t>
            </w:r>
          </w:p>
        </w:tc>
        <w:tc>
          <w:tcPr>
            <w:tcW w:type="dxa" w:w="2880"/>
            <w:shd w:fill="1E3A8A" w:color="auto" w:val="clear"/>
          </w:tcPr>
          <w:p>
            <w:r>
              <w:rPr>
                <w:b/>
                <w:color w:val="FFFFFF"/>
              </w:rPr>
              <w:t>Approval Authority</w:t>
            </w:r>
          </w:p>
        </w:tc>
        <w:tc>
          <w:tcPr>
            <w:tcW w:type="dxa" w:w="2880"/>
            <w:shd w:fill="1E3A8A" w:color="auto" w:val="clear"/>
          </w:tcPr>
          <w:p>
            <w:r>
              <w:rPr>
                <w:b/>
                <w:color w:val="FFFFFF"/>
              </w:rPr>
              <w:t>Processing Time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Below RM 50,000</w:t>
            </w:r>
          </w:p>
        </w:tc>
        <w:tc>
          <w:tcPr>
            <w:tcW w:type="dxa" w:w="2880"/>
          </w:tcPr>
          <w:p>
            <w:r>
              <w:t>Department Head (single approval)</w:t>
            </w:r>
          </w:p>
        </w:tc>
        <w:tc>
          <w:tcPr>
            <w:tcW w:type="dxa" w:w="2880"/>
          </w:tcPr>
          <w:p>
            <w:r>
              <w:t>Same business day</w:t>
            </w:r>
          </w:p>
        </w:tc>
      </w:tr>
      <w:tr>
        <w:tc>
          <w:tcPr>
            <w:tcW w:type="dxa" w:w="2880"/>
          </w:tcPr>
          <w:p>
            <w:r>
              <w:t>RM 50,001 - RM 200,000</w:t>
            </w:r>
          </w:p>
        </w:tc>
        <w:tc>
          <w:tcPr>
            <w:tcW w:type="dxa" w:w="2880"/>
          </w:tcPr>
          <w:p>
            <w:r>
              <w:t>Group CFO</w:t>
            </w:r>
          </w:p>
        </w:tc>
        <w:tc>
          <w:tcPr>
            <w:tcW w:type="dxa" w:w="2880"/>
          </w:tcPr>
          <w:p>
            <w:r>
              <w:t>5 business days</w:t>
            </w:r>
          </w:p>
        </w:tc>
      </w:tr>
      <w:tr>
        <w:tc>
          <w:tcPr>
            <w:tcW w:type="dxa" w:w="2880"/>
          </w:tcPr>
          <w:p>
            <w:r>
              <w:t>RM 200,001 - RM 500,000</w:t>
            </w:r>
          </w:p>
        </w:tc>
        <w:tc>
          <w:tcPr>
            <w:tcW w:type="dxa" w:w="2880"/>
          </w:tcPr>
          <w:p>
            <w:r>
              <w:t>Group CFO + Group CEO (joint approval)</w:t>
            </w:r>
          </w:p>
        </w:tc>
        <w:tc>
          <w:tcPr>
            <w:tcW w:type="dxa" w:w="2880"/>
          </w:tcPr>
          <w:p>
            <w:r>
              <w:t>10 business days</w:t>
            </w:r>
          </w:p>
        </w:tc>
      </w:tr>
      <w:tr>
        <w:tc>
          <w:tcPr>
            <w:tcW w:type="dxa" w:w="2880"/>
          </w:tcPr>
          <w:p>
            <w:r>
              <w:t>Above RM 500,000</w:t>
            </w:r>
          </w:p>
        </w:tc>
        <w:tc>
          <w:tcPr>
            <w:tcW w:type="dxa" w:w="2880"/>
          </w:tcPr>
          <w:p>
            <w:r>
              <w:t>Board Finance Committee</w:t>
            </w:r>
          </w:p>
        </w:tc>
        <w:tc>
          <w:tcPr>
            <w:tcW w:type="dxa" w:w="2880"/>
          </w:tcPr>
          <w:p>
            <w:r>
              <w:t>Quarterly meeting (paper required 14 days prior)</w:t>
            </w:r>
          </w:p>
        </w:tc>
      </w:tr>
      <w:tr>
        <w:tc>
          <w:tcPr>
            <w:tcW w:type="dxa" w:w="2880"/>
          </w:tcPr>
          <w:p>
            <w:r>
              <w:t>Emergency CAPEX (patient safety)</w:t>
            </w:r>
          </w:p>
        </w:tc>
        <w:tc>
          <w:tcPr>
            <w:tcW w:type="dxa" w:w="2880"/>
          </w:tcPr>
          <w:p>
            <w:r>
              <w:t>Group CFO + Medical Director (concurrent)</w:t>
            </w:r>
          </w:p>
        </w:tc>
        <w:tc>
          <w:tcPr>
            <w:tcW w:type="dxa" w:w="2880"/>
          </w:tcPr>
          <w:p>
            <w:r>
              <w:t>Same day; ratified at next Finance Committee within 30 days</w:t>
            </w:r>
          </w:p>
        </w:tc>
      </w:tr>
      <w:tr>
        <w:tc>
          <w:tcPr>
            <w:tcW w:type="dxa" w:w="2880"/>
          </w:tcPr>
          <w:p>
            <w:r>
              <w:t>Unbudgeted CAPEX (any amount)</w:t>
            </w:r>
          </w:p>
        </w:tc>
        <w:tc>
          <w:tcPr>
            <w:tcW w:type="dxa" w:w="2880"/>
          </w:tcPr>
          <w:p>
            <w:r>
              <w:t>One tier higher than standard matrix</w:t>
            </w:r>
          </w:p>
        </w:tc>
        <w:tc>
          <w:tcPr>
            <w:tcW w:type="dxa" w:w="2880"/>
          </w:tcPr>
          <w:p>
            <w:r>
              <w:t>Standard processing time of applicable tier</w:t>
            </w:r>
          </w:p>
        </w:tc>
      </w:tr>
    </w:tbl>
    <w:p/>
    <w:p>
      <w:r>
        <w:rPr>
          <w:b w:val="0"/>
          <w:i w:val="0"/>
        </w:rPr>
        <w:t>1.3  Required Documentation</w:t>
      </w:r>
    </w:p>
    <w:p>
      <w:pPr>
        <w:pStyle w:val="ListBullet"/>
      </w:pPr>
      <w:r>
        <w:t>Business case with projected ROI for all items above RM 100,000</w:t>
      </w:r>
    </w:p>
    <w:p>
      <w:pPr>
        <w:pStyle w:val="ListBullet"/>
      </w:pPr>
      <w:r>
        <w:t>Minimum three (3) competitive quotations, or sole-source justification approved by CFO</w:t>
      </w:r>
    </w:p>
    <w:p>
      <w:pPr>
        <w:pStyle w:val="ListBullet"/>
      </w:pPr>
      <w:r>
        <w:t>Asset useful life assessment from the relevant department head</w:t>
      </w:r>
    </w:p>
    <w:p>
      <w:pPr>
        <w:pStyle w:val="ListBullet"/>
      </w:pPr>
      <w:r>
        <w:t>For IT capital items above RM 500,000: independent technical review</w:t>
      </w:r>
    </w:p>
    <w:p>
      <w:pPr>
        <w:pStyle w:val="Heading1"/>
      </w:pPr>
      <w:r>
        <w:rPr>
          <w:color w:val="1E3A8A"/>
        </w:rPr>
        <w:t>SECTION 2: BUDGET GOVERNANCE &amp; VARIANCE ESCALATION</w:t>
      </w:r>
    </w:p>
    <w:p>
      <w:r>
        <w:rPr>
          <w:b w:val="0"/>
          <w:i w:val="0"/>
        </w:rPr>
        <w:t>2.1  Monthly Reporting</w:t>
      </w:r>
    </w:p>
    <w:p>
      <w:r>
        <w:rPr>
          <w:b w:val="0"/>
          <w:i w:val="0"/>
        </w:rPr>
        <w:t>Monthly management accounts shall be issued no later than the fifth (5th) business day of the following month. The pack shall include actuals versus budget at Group and department level, with written commentary for all variances exceeding the thresholds below.</w:t>
      </w:r>
    </w:p>
    <w:p/>
    <w:p>
      <w:r>
        <w:rPr>
          <w:b/>
          <w:i w:val="0"/>
        </w:rPr>
        <w:t>2.2  Variance Escalation Thresholds (Unfavourable)</w:t>
      </w:r>
    </w:p>
    <w:tbl>
      <w:tblPr>
        <w:tblStyle w:val="TableGrid"/>
        <w:tblW w:type="auto" w:w="0"/>
        <w:tblLook w:firstColumn="1" w:firstRow="1" w:lastColumn="0" w:lastRow="0" w:noHBand="0" w:noVBand="1" w:val="04A0"/>
      </w:tblPr>
      <w:tblGrid>
        <w:gridCol w:w="2880"/>
        <w:gridCol w:w="2880"/>
        <w:gridCol w:w="2880"/>
      </w:tblGrid>
      <w:tr>
        <w:tc>
          <w:tcPr>
            <w:tcW w:type="dxa" w:w="2880"/>
            <w:shd w:fill="1E3A8A" w:color="auto" w:val="clear"/>
          </w:tcPr>
          <w:p>
            <w:r>
              <w:rPr>
                <w:b/>
                <w:color w:val="FFFFFF"/>
              </w:rPr>
              <w:t>Threshold</w:t>
            </w:r>
          </w:p>
        </w:tc>
        <w:tc>
          <w:tcPr>
            <w:tcW w:type="dxa" w:w="2880"/>
            <w:shd w:fill="1E3A8A" w:color="auto" w:val="clear"/>
          </w:tcPr>
          <w:p>
            <w:r>
              <w:rPr>
                <w:b/>
                <w:color w:val="FFFFFF"/>
              </w:rPr>
              <w:t>Action Required</w:t>
            </w:r>
          </w:p>
        </w:tc>
        <w:tc>
          <w:tcPr>
            <w:tcW w:type="dxa" w:w="2880"/>
            <w:shd w:fill="1E3A8A" w:color="auto" w:val="clear"/>
          </w:tcPr>
          <w:p>
            <w:r>
              <w:rPr>
                <w:b/>
                <w:color w:val="FFFFFF"/>
              </w:rPr>
              <w:t>Timeline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&gt; 5% adverse</w:t>
            </w:r>
          </w:p>
        </w:tc>
        <w:tc>
          <w:tcPr>
            <w:tcW w:type="dxa" w:w="2880"/>
          </w:tcPr>
          <w:p>
            <w:r>
              <w:t>Finance Controller review + written variance commentary</w:t>
            </w:r>
          </w:p>
        </w:tc>
        <w:tc>
          <w:tcPr>
            <w:tcW w:type="dxa" w:w="2880"/>
          </w:tcPr>
          <w:p>
            <w:r>
              <w:t>Within 5 business days of month close</w:t>
            </w:r>
          </w:p>
        </w:tc>
      </w:tr>
      <w:tr>
        <w:tc>
          <w:tcPr>
            <w:tcW w:type="dxa" w:w="2880"/>
          </w:tcPr>
          <w:p>
            <w:r>
              <w:t>&gt; 10% adverse</w:t>
            </w:r>
          </w:p>
        </w:tc>
        <w:tc>
          <w:tcPr>
            <w:tcW w:type="dxa" w:w="2880"/>
          </w:tcPr>
          <w:p>
            <w:r>
              <w:t>CFO review; corrective action plan by Department Head</w:t>
            </w:r>
          </w:p>
        </w:tc>
        <w:tc>
          <w:tcPr>
            <w:tcW w:type="dxa" w:w="2880"/>
          </w:tcPr>
          <w:p>
            <w:r>
              <w:t>Within 14 days of month close</w:t>
            </w:r>
          </w:p>
        </w:tc>
      </w:tr>
      <w:tr>
        <w:tc>
          <w:tcPr>
            <w:tcW w:type="dxa" w:w="2880"/>
          </w:tcPr>
          <w:p>
            <w:r>
              <w:t>&gt; 15% adverse</w:t>
            </w:r>
          </w:p>
        </w:tc>
        <w:tc>
          <w:tcPr>
            <w:tcW w:type="dxa" w:w="2880"/>
          </w:tcPr>
          <w:p>
            <w:r>
              <w:t>Finance Committee presentation with full recovery plan</w:t>
            </w:r>
          </w:p>
        </w:tc>
        <w:tc>
          <w:tcPr>
            <w:tcW w:type="dxa" w:w="2880"/>
          </w:tcPr>
          <w:p>
            <w:r>
              <w:t>At next scheduled Finance Committee meeting</w:t>
            </w:r>
          </w:p>
        </w:tc>
      </w:tr>
    </w:tbl>
    <w:p/>
    <w:p>
      <w:r>
        <w:rPr>
          <w:b w:val="0"/>
          <w:i w:val="0"/>
        </w:rPr>
        <w:t>2.3  Budget Virement Authority</w:t>
      </w:r>
    </w:p>
    <w:p>
      <w:pPr>
        <w:pStyle w:val="ListBullet"/>
      </w:pPr>
      <w:r>
        <w:t>Up to RM 20,000: Department Head, with written notification to Finance</w:t>
      </w:r>
    </w:p>
    <w:p>
      <w:pPr>
        <w:pStyle w:val="ListBullet"/>
      </w:pPr>
      <w:r>
        <w:t>RM 20,001 - RM 100,000: Group CFO approval</w:t>
      </w:r>
    </w:p>
    <w:p>
      <w:pPr>
        <w:pStyle w:val="ListBullet"/>
      </w:pPr>
      <w:r>
        <w:t>Above RM 100,000: Finance Committee approval required</w:t>
      </w:r>
    </w:p>
    <w:p>
      <w:r>
        <w:rPr>
          <w:b w:val="0"/>
          <w:i w:val="0"/>
        </w:rPr>
        <w:t>2.4  CAPEX Carry-Forward: Maximum 15% of unspent approved CAPEX may be carried forward, subject to CFO sign-off. All carry-forwards must be re-approved if the nature of expenditure changes.</w:t>
      </w:r>
    </w:p>
    <w:p>
      <w:r>
        <w:rPr>
          <w:b w:val="0"/>
          <w:i w:val="0"/>
        </w:rPr>
        <w:t>2.5  Mid-Year Revision: One formal revision permitted per year (at Q2). Maximum revision is plus 5% of total approved Group budget. Finance Committee approval required.</w:t>
      </w:r>
    </w:p>
    <w:p>
      <w:r>
        <w:rPr>
          <w:b w:val="0"/>
          <w:i w:val="0"/>
        </w:rPr>
        <w:t>2.6  Full-Year Re-Forecast: Mandatory at Q2 and Q3. Re-forecasts do not replace the approved budget for variance reporting.</w:t>
      </w:r>
    </w:p>
    <w:p>
      <w:pPr>
        <w:pStyle w:val="Heading1"/>
      </w:pPr>
      <w:r>
        <w:rPr>
          <w:color w:val="1E3A8A"/>
        </w:rPr>
        <w:t>SECTION 3: PROCUREMENT THRESHOLDS &amp; TENDER REQUIREMENTS</w:t>
      </w:r>
    </w:p>
    <w:p>
      <w:r>
        <w:rPr>
          <w:b/>
          <w:i w:val="0"/>
        </w:rPr>
        <w:t>3.1  Procurement Authority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Spend Value</w:t>
            </w:r>
          </w:p>
        </w:tc>
        <w:tc>
          <w:tcPr>
            <w:tcW w:type="dxa" w:w="2160"/>
            <w:shd w:fill="1E3A8A" w:color="auto" w:val="clear"/>
          </w:tcPr>
          <w:p>
            <w:r>
              <w:rPr>
                <w:b/>
                <w:color w:val="FFFFFF"/>
              </w:rPr>
              <w:t>Process Required</w:t>
            </w:r>
          </w:p>
        </w:tc>
        <w:tc>
          <w:tcPr>
            <w:tcW w:type="dxa" w:w="2160"/>
            <w:shd w:fill="1E3A8A" w:color="auto" w:val="clear"/>
          </w:tcPr>
          <w:p>
            <w:r>
              <w:rPr>
                <w:b/>
                <w:color w:val="FFFFFF"/>
              </w:rPr>
              <w:t>Min. Suppliers</w:t>
            </w:r>
          </w:p>
        </w:tc>
        <w:tc>
          <w:tcPr>
            <w:tcW w:type="dxa" w:w="2160"/>
            <w:shd w:fill="1E3A8A" w:color="auto" w:val="clear"/>
          </w:tcPr>
          <w:p>
            <w:r>
              <w:rPr>
                <w:b/>
                <w:color w:val="FFFFFF"/>
              </w:rPr>
              <w:t>Approval Authority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Below RM 10,000</w:t>
            </w:r>
          </w:p>
        </w:tc>
        <w:tc>
          <w:tcPr>
            <w:tcW w:type="dxa" w:w="2160"/>
          </w:tcPr>
          <w:p>
            <w:r>
              <w:t>Single quotation</w:t>
            </w:r>
          </w:p>
        </w:tc>
        <w:tc>
          <w:tcPr>
            <w:tcW w:type="dxa" w:w="2160"/>
          </w:tcPr>
          <w:p>
            <w:r>
              <w:t>1</w:t>
            </w:r>
          </w:p>
        </w:tc>
        <w:tc>
          <w:tcPr>
            <w:tcW w:type="dxa" w:w="2160"/>
          </w:tcPr>
          <w:p>
            <w:r>
              <w:t>Department Head</w:t>
            </w:r>
          </w:p>
        </w:tc>
      </w:tr>
      <w:tr>
        <w:tc>
          <w:tcPr>
            <w:tcW w:type="dxa" w:w="2160"/>
          </w:tcPr>
          <w:p>
            <w:r>
              <w:t>RM 10,001 - RM 50,000</w:t>
            </w:r>
          </w:p>
        </w:tc>
        <w:tc>
          <w:tcPr>
            <w:tcW w:type="dxa" w:w="2160"/>
          </w:tcPr>
          <w:p>
            <w:r>
              <w:t>Three sealed written quotations</w:t>
            </w:r>
          </w:p>
        </w:tc>
        <w:tc>
          <w:tcPr>
            <w:tcW w:type="dxa" w:w="2160"/>
          </w:tcPr>
          <w:p>
            <w:r>
              <w:t>3</w:t>
            </w:r>
          </w:p>
        </w:tc>
        <w:tc>
          <w:tcPr>
            <w:tcW w:type="dxa" w:w="2160"/>
          </w:tcPr>
          <w:p>
            <w:r>
              <w:t>Head of Procurement</w:t>
            </w:r>
          </w:p>
        </w:tc>
      </w:tr>
      <w:tr>
        <w:tc>
          <w:tcPr>
            <w:tcW w:type="dxa" w:w="2160"/>
          </w:tcPr>
          <w:p>
            <w:r>
              <w:t>RM 50,001 - RM 200,000</w:t>
            </w:r>
          </w:p>
        </w:tc>
        <w:tc>
          <w:tcPr>
            <w:tcW w:type="dxa" w:w="2160"/>
          </w:tcPr>
          <w:p>
            <w:r>
              <w:t>Formal RFQ to pre-qualified list</w:t>
            </w:r>
          </w:p>
        </w:tc>
        <w:tc>
          <w:tcPr>
            <w:tcW w:type="dxa" w:w="2160"/>
          </w:tcPr>
          <w:p>
            <w:r>
              <w:t>5</w:t>
            </w:r>
          </w:p>
        </w:tc>
        <w:tc>
          <w:tcPr>
            <w:tcW w:type="dxa" w:w="2160"/>
          </w:tcPr>
          <w:p>
            <w:r>
              <w:t>Procurement Committee + CFO</w:t>
            </w:r>
          </w:p>
        </w:tc>
      </w:tr>
      <w:tr>
        <w:tc>
          <w:tcPr>
            <w:tcW w:type="dxa" w:w="2160"/>
          </w:tcPr>
          <w:p>
            <w:r>
              <w:t>RM 200,001 - RM 500,000</w:t>
            </w:r>
          </w:p>
        </w:tc>
        <w:tc>
          <w:tcPr>
            <w:tcW w:type="dxa" w:w="2160"/>
          </w:tcPr>
          <w:p>
            <w:r>
              <w:t>Open tender (min 14 days)</w:t>
            </w:r>
          </w:p>
        </w:tc>
        <w:tc>
          <w:tcPr>
            <w:tcW w:type="dxa" w:w="2160"/>
          </w:tcPr>
          <w:p>
            <w:r>
              <w:t>Open</w:t>
            </w:r>
          </w:p>
        </w:tc>
        <w:tc>
          <w:tcPr>
            <w:tcW w:type="dxa" w:w="2160"/>
          </w:tcPr>
          <w:p>
            <w:r>
              <w:t>CFO + CEO</w:t>
            </w:r>
          </w:p>
        </w:tc>
      </w:tr>
      <w:tr>
        <w:tc>
          <w:tcPr>
            <w:tcW w:type="dxa" w:w="2160"/>
          </w:tcPr>
          <w:p>
            <w:r>
              <w:t>Above RM 500,000</w:t>
            </w:r>
          </w:p>
        </w:tc>
        <w:tc>
          <w:tcPr>
            <w:tcW w:type="dxa" w:w="2160"/>
          </w:tcPr>
          <w:p>
            <w:r>
              <w:t>Open tender (min 21 days)</w:t>
            </w:r>
          </w:p>
        </w:tc>
        <w:tc>
          <w:tcPr>
            <w:tcW w:type="dxa" w:w="2160"/>
          </w:tcPr>
          <w:p>
            <w:r>
              <w:t>Open</w:t>
            </w:r>
          </w:p>
        </w:tc>
        <w:tc>
          <w:tcPr>
            <w:tcW w:type="dxa" w:w="2160"/>
          </w:tcPr>
          <w:p>
            <w:r>
              <w:t>Board Finance Committee</w:t>
            </w:r>
          </w:p>
        </w:tc>
      </w:tr>
    </w:tbl>
    <w:p/>
    <w:p>
      <w:r>
        <w:rPr>
          <w:b w:val="0"/>
          <w:i w:val="0"/>
        </w:rPr>
        <w:t>3.2  Sole Source Procurement</w:t>
      </w:r>
    </w:p>
    <w:p>
      <w:r>
        <w:rPr>
          <w:b w:val="0"/>
          <w:i w:val="0"/>
        </w:rPr>
        <w:t>Sole source is permitted only in the following circumstances, all requiring Group CFO sign-off and recording in the Procurement Register:</w:t>
      </w:r>
    </w:p>
    <w:p>
      <w:pPr>
        <w:pStyle w:val="ListBullet"/>
      </w:pPr>
      <w:r>
        <w:t>OEM proprietary - equipment or parts available from only one supplier by virtue of IP or technical specification</w:t>
      </w:r>
    </w:p>
    <w:p>
      <w:pPr>
        <w:pStyle w:val="ListBullet"/>
      </w:pPr>
      <w:r>
        <w:t>Emergency clinical need - where delay would directly compromise patient safety (Medical Director sign-off required)</w:t>
      </w:r>
    </w:p>
    <w:p>
      <w:pPr>
        <w:pStyle w:val="ListBullet"/>
      </w:pPr>
      <w:r>
        <w:t>Critical service continuation - incumbent supplier cannot be replaced within 30 days without material operational disruption</w:t>
      </w:r>
    </w:p>
    <w:p>
      <w:r>
        <w:rPr>
          <w:b/>
          <w:i w:val="0"/>
        </w:rPr>
        <w:t>IMPORTANT: Splitting of orders to circumvent procurement thresholds is strictly prohibited and constitutes a disciplinary offence. All related transactions within a 90-day rolling window are aggregated for threshold determination.</w:t>
      </w:r>
    </w:p>
    <w:p>
      <w:pPr>
        <w:pStyle w:val="Heading1"/>
      </w:pPr>
      <w:r>
        <w:rPr>
          <w:color w:val="1E3A8A"/>
        </w:rPr>
        <w:t>SECTION 4: SUPPLIER EVALUATION CRITERIA</w:t>
      </w:r>
    </w:p>
    <w:p>
      <w:r>
        <w:rPr>
          <w:b/>
          <w:i w:val="0"/>
        </w:rPr>
        <w:t>4.1  Standard Weighted Scorecard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8A" w:color="auto" w:val="clear"/>
          </w:tcPr>
          <w:p>
            <w:r>
              <w:rPr>
                <w:b/>
                <w:color w:val="FFFFFF"/>
              </w:rPr>
              <w:t>Criterion</w:t>
            </w:r>
          </w:p>
        </w:tc>
        <w:tc>
          <w:tcPr>
            <w:tcW w:type="dxa" w:w="2160"/>
            <w:shd w:fill="1E3A8A" w:color="auto" w:val="clear"/>
          </w:tcPr>
          <w:p>
            <w:r>
              <w:rPr>
                <w:b/>
                <w:color w:val="FFFFFF"/>
              </w:rPr>
              <w:t>Weight</w:t>
            </w:r>
          </w:p>
        </w:tc>
        <w:tc>
          <w:tcPr>
            <w:tcW w:type="dxa" w:w="2160"/>
            <w:shd w:fill="1E3A8A" w:color="auto" w:val="clear"/>
          </w:tcPr>
          <w:p>
            <w:r>
              <w:rPr>
                <w:b/>
                <w:color w:val="FFFFFF"/>
              </w:rPr>
              <w:t>Description</w:t>
            </w:r>
          </w:p>
        </w:tc>
        <w:tc>
          <w:tcPr>
            <w:tcW w:type="dxa" w:w="2160"/>
            <w:shd w:fill="1E3A8A" w:color="auto" w:val="clear"/>
          </w:tcPr>
          <w:p>
            <w:r>
              <w:rPr>
                <w:b/>
                <w:color w:val="FFFFFF"/>
              </w:rPr>
              <w:t>Min Qualifying Score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Price</w:t>
            </w:r>
          </w:p>
        </w:tc>
        <w:tc>
          <w:tcPr>
            <w:tcW w:type="dxa" w:w="2160"/>
          </w:tcPr>
          <w:p>
            <w:r>
              <w:t>35%</w:t>
            </w:r>
          </w:p>
        </w:tc>
        <w:tc>
          <w:tcPr>
            <w:tcW w:type="dxa" w:w="2160"/>
          </w:tcPr>
          <w:p>
            <w:r>
              <w:t>Scored 1-5 relative to peer quotations; lowest qualifying price = 5</w:t>
            </w:r>
          </w:p>
        </w:tc>
        <w:tc>
          <w:tcPr>
            <w:tcW w:type="dxa" w:w="2160"/>
          </w:tcPr>
          <w:p>
            <w:r>
              <w:t>2.0</w:t>
            </w:r>
          </w:p>
        </w:tc>
      </w:tr>
      <w:tr>
        <w:tc>
          <w:tcPr>
            <w:tcW w:type="dxa" w:w="2160"/>
          </w:tcPr>
          <w:p>
            <w:r>
              <w:t>Quality &amp; Certification</w:t>
            </w:r>
          </w:p>
        </w:tc>
        <w:tc>
          <w:tcPr>
            <w:tcW w:type="dxa" w:w="2160"/>
          </w:tcPr>
          <w:p>
            <w:r>
              <w:t>25%</w:t>
            </w:r>
          </w:p>
        </w:tc>
        <w:tc>
          <w:tcPr>
            <w:tcW w:type="dxa" w:w="2160"/>
          </w:tcPr>
          <w:p>
            <w:r>
              <w:t>ISO 13485 or equivalent; delivery reliability; defect rate history</w:t>
            </w:r>
          </w:p>
        </w:tc>
        <w:tc>
          <w:tcPr>
            <w:tcW w:type="dxa" w:w="2160"/>
          </w:tcPr>
          <w:p>
            <w:r>
              <w:t>2.0</w:t>
            </w:r>
          </w:p>
        </w:tc>
      </w:tr>
      <w:tr>
        <w:tc>
          <w:tcPr>
            <w:tcW w:type="dxa" w:w="2160"/>
          </w:tcPr>
          <w:p>
            <w:r>
              <w:t>Delivery Reliability</w:t>
            </w:r>
          </w:p>
        </w:tc>
        <w:tc>
          <w:tcPr>
            <w:tcW w:type="dxa" w:w="2160"/>
          </w:tcPr>
          <w:p>
            <w:r>
              <w:t>20%</w:t>
            </w:r>
          </w:p>
        </w:tc>
        <w:tc>
          <w:tcPr>
            <w:tcW w:type="dxa" w:w="2160"/>
          </w:tcPr>
          <w:p>
            <w:r>
              <w:t>Lead time, on-time delivery track record, inventory management</w:t>
            </w:r>
          </w:p>
        </w:tc>
        <w:tc>
          <w:tcPr>
            <w:tcW w:type="dxa" w:w="2160"/>
          </w:tcPr>
          <w:p>
            <w:r>
              <w:t>2.0</w:t>
            </w:r>
          </w:p>
        </w:tc>
      </w:tr>
      <w:tr>
        <w:tc>
          <w:tcPr>
            <w:tcW w:type="dxa" w:w="2160"/>
          </w:tcPr>
          <w:p>
            <w:r>
              <w:t>After-Sales Support</w:t>
            </w:r>
          </w:p>
        </w:tc>
        <w:tc>
          <w:tcPr>
            <w:tcW w:type="dxa" w:w="2160"/>
          </w:tcPr>
          <w:p>
            <w:r>
              <w:t>10%</w:t>
            </w:r>
          </w:p>
        </w:tc>
        <w:tc>
          <w:tcPr>
            <w:tcW w:type="dxa" w:w="2160"/>
          </w:tcPr>
          <w:p>
            <w:r>
              <w:t>Responsiveness, technical capability, local presence</w:t>
            </w:r>
          </w:p>
        </w:tc>
        <w:tc>
          <w:tcPr>
            <w:tcW w:type="dxa" w:w="2160"/>
          </w:tcPr>
          <w:p>
            <w:r>
              <w:t>No minimum</w:t>
            </w:r>
          </w:p>
        </w:tc>
      </w:tr>
      <w:tr>
        <w:tc>
          <w:tcPr>
            <w:tcW w:type="dxa" w:w="2160"/>
          </w:tcPr>
          <w:p>
            <w:r>
              <w:t>Financial Stability</w:t>
            </w:r>
          </w:p>
        </w:tc>
        <w:tc>
          <w:tcPr>
            <w:tcW w:type="dxa" w:w="2160"/>
          </w:tcPr>
          <w:p>
            <w:r>
              <w:t>5%</w:t>
            </w:r>
          </w:p>
        </w:tc>
        <w:tc>
          <w:tcPr>
            <w:tcW w:type="dxa" w:w="2160"/>
          </w:tcPr>
          <w:p>
            <w:r>
              <w:t>Audited accounts, credit rating, years in operation</w:t>
            </w:r>
          </w:p>
        </w:tc>
        <w:tc>
          <w:tcPr>
            <w:tcW w:type="dxa" w:w="2160"/>
          </w:tcPr>
          <w:p>
            <w:r>
              <w:t>No minimum</w:t>
            </w:r>
          </w:p>
        </w:tc>
      </w:tr>
      <w:tr>
        <w:tc>
          <w:tcPr>
            <w:tcW w:type="dxa" w:w="2160"/>
          </w:tcPr>
          <w:p>
            <w:r>
              <w:t>Sustainability / ESG</w:t>
            </w:r>
          </w:p>
        </w:tc>
        <w:tc>
          <w:tcPr>
            <w:tcW w:type="dxa" w:w="2160"/>
          </w:tcPr>
          <w:p>
            <w:r>
              <w:t>5%</w:t>
            </w:r>
          </w:p>
        </w:tc>
        <w:tc>
          <w:tcPr>
            <w:tcW w:type="dxa" w:w="2160"/>
          </w:tcPr>
          <w:p>
            <w:r>
              <w:t>Environmental certifications, ESG reporting, ethical sourcing</w:t>
            </w:r>
          </w:p>
        </w:tc>
        <w:tc>
          <w:tcPr>
            <w:tcW w:type="dxa" w:w="2160"/>
          </w:tcPr>
          <w:p>
            <w:r>
              <w:t>No minimum</w:t>
            </w:r>
          </w:p>
        </w:tc>
      </w:tr>
      <w:tr>
        <w:tc>
          <w:tcPr>
            <w:tcW w:type="dxa" w:w="2160"/>
          </w:tcPr>
          <w:p>
            <w:r>
              <w:t>Overall Minimum</w:t>
            </w:r>
          </w:p>
        </w:tc>
        <w:tc>
          <w:tcPr>
            <w:tcW w:type="dxa" w:w="2160"/>
          </w:tcPr>
          <w:p>
            <w:r>
              <w:t>--</w:t>
            </w:r>
          </w:p>
        </w:tc>
        <w:tc>
          <w:tcPr>
            <w:tcW w:type="dxa" w:w="2160"/>
          </w:tcPr>
          <w:p>
            <w:r>
              <w:t>Minimum qualifying score to progress to contract award</w:t>
            </w:r>
          </w:p>
        </w:tc>
        <w:tc>
          <w:tcPr>
            <w:tcW w:type="dxa" w:w="2160"/>
          </w:tcPr>
          <w:p>
            <w:r>
              <w:t>3.0/5.0</w:t>
            </w:r>
          </w:p>
        </w:tc>
      </w:tr>
    </w:tbl>
    <w:p/>
    <w:p>
      <w:r>
        <w:rPr>
          <w:b w:val="0"/>
          <w:i w:val="0"/>
        </w:rPr>
        <w:t>4.2  Automatic Disqualification Criteria</w:t>
      </w:r>
    </w:p>
    <w:p>
      <w:pPr>
        <w:pStyle w:val="ListBullet"/>
      </w:pPr>
      <w:r>
        <w:t>Score below 2.0 in Quality &amp; Certification criterion</w:t>
      </w:r>
    </w:p>
    <w:p>
      <w:pPr>
        <w:pStyle w:val="ListBullet"/>
      </w:pPr>
      <w:r>
        <w:t>No valid ISO 13485 certification (or equivalent) for medical devices and consumables - no exceptions</w:t>
      </w:r>
    </w:p>
    <w:p>
      <w:pPr>
        <w:pStyle w:val="ListBullet"/>
      </w:pPr>
      <w:r>
        <w:t>Financial rating of C or below (without prior CFO waiver)</w:t>
      </w:r>
    </w:p>
    <w:p>
      <w:pPr>
        <w:pStyle w:val="ListBullet"/>
      </w:pPr>
      <w:r>
        <w:t>Delivery reliability track record below 90% over preceding 12 months</w:t>
      </w:r>
    </w:p>
    <w:p>
      <w:r>
        <w:rPr>
          <w:b w:val="0"/>
          <w:i w:val="0"/>
        </w:rPr>
        <w:t>4.3  New Supplier Requirements: All new suppliers require financial due diligence (audited accounts for most recent 2 years). Contracts above RM 500,000 additionally require a site visit by the Procurement team.</w:t>
      </w:r>
    </w:p>
    <w:p>
      <w:pPr>
        <w:pStyle w:val="Heading1"/>
      </w:pPr>
      <w:r>
        <w:rPr>
          <w:color w:val="1E3A8A"/>
        </w:rPr>
        <w:t>SECTION 5: CONTRACT STANDARDS &amp; RISK POLICY</w:t>
      </w:r>
    </w:p>
    <w:p>
      <w:r>
        <w:rPr>
          <w:b w:val="0"/>
          <w:i w:val="0"/>
        </w:rPr>
        <w:t>5.1  Legal Review: Mandatory for all contracts above RM 200,000. The Legal team must review and sign off before any contract is executed. No exceptions.</w:t>
      </w:r>
    </w:p>
    <w:p/>
    <w:p>
      <w:r>
        <w:rPr>
          <w:b/>
          <w:i w:val="0"/>
        </w:rPr>
        <w:t>5.2  Liability Cap</w:t>
      </w:r>
    </w:p>
    <w:p>
      <w:r>
        <w:rPr>
          <w:b w:val="0"/>
          <w:i w:val="0"/>
        </w:rPr>
        <w:t>The standard minimum liability cap is twelve (12) months of contract fees. For critical or high-value contracts, the preferred position is twenty-four (24) months. Zava Health will NOT accept a liability cap of less than twelve (12) months without written waiver from both the Group CFO and Legal Director. Any contract with a sub-12-month liability cap inadvertently executed must be flagged to Legal immediately for renegotiation.</w:t>
      </w:r>
    </w:p>
    <w:p/>
    <w:p>
      <w:r>
        <w:rPr>
          <w:b/>
          <w:i w:val="0"/>
        </w:rPr>
        <w:t>5.3  Auto-Renewal Notice Period</w:t>
      </w:r>
    </w:p>
    <w:p>
      <w:r>
        <w:rPr>
          <w:b w:val="0"/>
          <w:i w:val="0"/>
        </w:rPr>
        <w:t>The standard minimum notice period for non-renewal is ninety (90) days. Any contract with a 60-day or shorter auto-renewal notice period requires Group CFO sign-off and must be calendared as a critical compliance date by the Finance Controller. The recommended practice is to calendar notice deadlines at least six (6) months in advance.</w:t>
      </w:r>
    </w:p>
    <w:p/>
    <w:p>
      <w:r>
        <w:rPr>
          <w:b/>
          <w:i w:val="0"/>
        </w:rPr>
        <w:t>5.4  Price Escalation</w:t>
      </w:r>
    </w:p>
    <w:p>
      <w:r>
        <w:rPr>
          <w:b w:val="0"/>
          <w:i w:val="0"/>
        </w:rPr>
        <w:t>Maximum annual price escalation permitted under any vendor contract is three percent (3%) per annum. Price escalation above 3% requires Finance Committee approval. Zava Health will not agree to open-ended or CPI-linked escalation clauses without Finance Committee pre-approval.</w:t>
      </w:r>
    </w:p>
    <w:p/>
    <w:p>
      <w:r>
        <w:rPr>
          <w:b w:val="0"/>
          <w:i w:val="0"/>
        </w:rPr>
        <w:t>5.5  Payment Terms: Standard payment terms are thirty (30) days from invoice date. Up to forty-five (45) days may be agreed for strategic or sole-source suppliers with Group CFO approval. Payment terms of sixty (60) days or more require Group CFO and Group CEO joint approval with a working capital impact assessment.</w:t>
      </w:r>
    </w:p>
    <w:p/>
    <w:p>
      <w:r>
        <w:rPr>
          <w:b/>
          <w:i w:val="0"/>
        </w:rPr>
        <w:t>5.6  Data Ownership</w:t>
      </w:r>
    </w:p>
    <w:p>
      <w:r>
        <w:rPr>
          <w:b w:val="0"/>
          <w:i w:val="0"/>
        </w:rPr>
        <w:t>Zava Health Group retains full ownership of all data, records, reports, outputs, analyses, and insights generated under any service or technology contract. Vendors may not retain, use, commercialise, or share Zava Health data for any purpose other than providing the contracted services. Any contract clause purporting to vest data ownership in the vendor is void as against Zava Health policy and must be renegotiated before execution.</w:t>
      </w:r>
    </w:p>
    <w:p/>
    <w:p>
      <w:r>
        <w:rPr>
          <w:b w:val="0"/>
          <w:i w:val="0"/>
        </w:rPr>
        <w:t>5.7  IP Ownership: Any intellectual property created specifically for Zava Health under a service contract is owned by Zava Health unless explicitly agreed otherwise and approved in writing by the Legal Director.</w:t>
      </w:r>
    </w:p>
    <w:p>
      <w:r>
        <w:rPr>
          <w:b w:val="0"/>
          <w:i w:val="0"/>
        </w:rPr>
        <w:t>5.8  Multi-Year Contracts: Contracts with an initial term exceeding three (3) years require Board Finance Committee approval, regardless of annual contract value.</w:t>
      </w:r>
    </w:p>
    <w:p>
      <w:r>
        <w:rPr>
          <w:b w:val="0"/>
          <w:i w:val="0"/>
        </w:rPr>
        <w:t>5.9  Contract Register: The Head of Procurement maintains a live contract register. All contracts must be registered within five (5) business days of signing, capturing: contract value, term, auto-renewal date, notice deadline, and key risk flags.</w:t>
      </w:r>
    </w:p>
    <w:p>
      <w:pPr>
        <w:pStyle w:val="Heading1"/>
      </w:pPr>
      <w:r>
        <w:rPr>
          <w:color w:val="1E3A8A"/>
        </w:rPr>
        <w:t>SECTION 6: PREFERRED SUPPLIER PROGRAMME</w:t>
      </w:r>
    </w:p>
    <w:p>
      <w:r>
        <w:rPr>
          <w:b w:val="0"/>
          <w:i w:val="0"/>
        </w:rPr>
        <w:t>6.1  Eligibility Criteria:</w:t>
      </w:r>
    </w:p>
    <w:p>
      <w:pPr>
        <w:pStyle w:val="ListBullet"/>
      </w:pPr>
      <w:r>
        <w:t>Minimum two (2) years supply track record with Zava Health, or equivalent customer references</w:t>
      </w:r>
    </w:p>
    <w:p>
      <w:pPr>
        <w:pStyle w:val="ListBullet"/>
      </w:pPr>
      <w:r>
        <w:t>ISO 13485 (medical devices/consumables) or applicable quality certification</w:t>
      </w:r>
    </w:p>
    <w:p>
      <w:pPr>
        <w:pStyle w:val="ListBullet"/>
      </w:pPr>
      <w:r>
        <w:t>Financial health rating of A or B from recognised credit agency</w:t>
      </w:r>
    </w:p>
    <w:p>
      <w:pPr>
        <w:pStyle w:val="ListBullet"/>
      </w:pPr>
      <w:r>
        <w:t>ESG score of minimum 3.0/5.0 on Zava Health's supplier assessment</w:t>
      </w:r>
    </w:p>
    <w:p>
      <w:pPr>
        <w:pStyle w:val="ListBullet"/>
      </w:pPr>
      <w:r>
        <w:t>On-time delivery rate of 95% or above over the preceding 12 months</w:t>
      </w:r>
    </w:p>
    <w:p>
      <w:r>
        <w:rPr>
          <w:b w:val="0"/>
          <w:i w:val="0"/>
        </w:rPr>
        <w:t>6.2  Annual Review: Preferred supplier status reviewed every January. Suppliers failing eligibility criteria given 90 days to remediate before removal.</w:t>
      </w:r>
    </w:p>
    <w:p>
      <w:r>
        <w:rPr>
          <w:b w:val="0"/>
          <w:i w:val="0"/>
        </w:rPr>
        <w:t>6.3  Spend Target: Zava Health targets 80% of total procurement spend through preferred or contracted suppliers by FY2027 (baseline FY2025: 62%).</w:t>
      </w:r>
    </w:p>
    <w:p>
      <w:r>
        <w:rPr>
          <w:b w:val="0"/>
          <w:i w:val="0"/>
        </w:rPr>
        <w:t>6.4  Off-Contract Spend: Purchases above RM 5,000 from non-preferred suppliers must be retrospectively justified in writing to the Head of Procurement within fourteen (14) days.</w:t>
      </w:r>
    </w:p>
    <w:p>
      <w:pPr>
        <w:pStyle w:val="Heading1"/>
      </w:pPr>
      <w:r>
        <w:rPr>
          <w:color w:val="1E3A8A"/>
        </w:rPr>
        <w:t>SECTION 7: FINANCE COMPLIANCE &amp; AUDIT</w:t>
      </w:r>
    </w:p>
    <w:p>
      <w:r>
        <w:rPr>
          <w:b w:val="0"/>
          <w:i w:val="0"/>
        </w:rPr>
        <w:t>7.1  Internal Audit</w:t>
      </w:r>
    </w:p>
    <w:p>
      <w:pPr>
        <w:pStyle w:val="ListBullet"/>
      </w:pPr>
      <w:r>
        <w:t>Quarterly spot-checks: minimum 20 transactions reviewed per quarter across all departments</w:t>
      </w:r>
    </w:p>
    <w:p>
      <w:pPr>
        <w:pStyle w:val="ListBullet"/>
      </w:pPr>
      <w:r>
        <w:t>Annual full compliance audit covering procurement, CAPEX, contract compliance, and payment processes</w:t>
      </w:r>
    </w:p>
    <w:p>
      <w:pPr>
        <w:pStyle w:val="ListBullet"/>
      </w:pPr>
      <w:r>
        <w:t>Findings reported to Group CFO within 10 business days; critical findings to Audit Committee within 5 days</w:t>
      </w:r>
    </w:p>
    <w:p>
      <w:r>
        <w:rPr>
          <w:b w:val="0"/>
          <w:i w:val="0"/>
        </w:rPr>
        <w:t>7.2  Conflict of Interest: All Finance and Procurement staff must submit an annual COI declaration each January. Ad-hoc declarations required within five (5) business days of any relevant relationship arising.</w:t>
      </w:r>
    </w:p>
    <w:p/>
    <w:p>
      <w:r>
        <w:rPr>
          <w:b w:val="0"/>
          <w:i w:val="0"/>
        </w:rPr>
        <w:t>7.3  Gift and Hospitality Policy</w:t>
      </w:r>
    </w:p>
    <w:p>
      <w:pPr>
        <w:pStyle w:val="ListBullet"/>
      </w:pPr>
      <w:r>
        <w:t>Maximum gift value: RM 200 per occasion from any single vendor</w:t>
      </w:r>
    </w:p>
    <w:p>
      <w:pPr>
        <w:pStyle w:val="ListBullet"/>
      </w:pPr>
      <w:r>
        <w:t>Gifts above RM 50 in value must be recorded in the Corporate Gift Register within 5 business days</w:t>
      </w:r>
    </w:p>
    <w:p>
      <w:pPr>
        <w:pStyle w:val="ListBullet"/>
      </w:pPr>
      <w:r>
        <w:t>Cash gifts in any amount: prohibited</w:t>
      </w:r>
    </w:p>
    <w:p>
      <w:pPr>
        <w:pStyle w:val="ListBullet"/>
      </w:pPr>
      <w:r>
        <w:t>Gifts above RM 200: must be declined or returned; vendor to be notified of policy</w:t>
      </w:r>
    </w:p>
    <w:p>
      <w:pPr>
        <w:pStyle w:val="ListBullet"/>
      </w:pPr>
      <w:r>
        <w:t>Hospitality: acceptable if work-related and proportionate; Finance Controller approval for amounts above RM 500 per head</w:t>
      </w:r>
    </w:p>
    <w:p>
      <w:r>
        <w:rPr>
          <w:b w:val="0"/>
          <w:i w:val="0"/>
        </w:rPr>
        <w:t>7.4  Whistleblower Policy: Any staff member may report suspected breaches to the Group CFO directly, or anonymously via the Ethics Hotline (1-800-XXX-XXXX). Strict no-retaliation policy. All reports investigated within 30 business days.</w:t>
      </w:r>
    </w:p>
    <w:p/>
    <w:p>
      <w:r>
        <w:rPr>
          <w:b/>
          <w:i w:val="0"/>
        </w:rPr>
        <w:t>7.5  Document Retention Schedule</w:t>
      </w:r>
    </w:p>
    <w:tbl>
      <w:tblPr>
        <w:tblStyle w:val="TableGrid"/>
        <w:tblW w:type="auto" w:w="0"/>
        <w:tblLook w:firstColumn="1" w:firstRow="1" w:lastColumn="0" w:lastRow="0" w:noHBand="0" w:noVBand="1" w:val="04A0"/>
      </w:tblPr>
      <w:tblGrid>
        <w:gridCol w:w="4320"/>
        <w:gridCol w:w="4320"/>
      </w:tblGrid>
      <w:tr>
        <w:tc>
          <w:tcPr>
            <w:tcW w:type="dxa" w:w="4320"/>
            <w:shd w:fill="2563EB" w:color="auto" w:val="clear"/>
          </w:tcPr>
          <w:p>
            <w:r>
              <w:rPr>
                <w:b/>
                <w:color w:val="FFFFFF"/>
              </w:rPr>
              <w:t>Document Type</w:t>
            </w:r>
          </w:p>
        </w:tc>
        <w:tc>
          <w:tcPr>
            <w:tcW w:type="dxa" w:w="4320"/>
            <w:shd w:fill="2563EB" w:color="auto" w:val="clear"/>
          </w:tcPr>
          <w:p>
            <w:r>
              <w:rPr>
                <w:b/>
                <w:color w:val="FFFFFF"/>
              </w:rPr>
              <w:t>Retention Period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Signed contracts</w:t>
            </w:r>
          </w:p>
        </w:tc>
        <w:tc>
          <w:tcPr>
            <w:tcW w:type="dxa" w:w="4320"/>
          </w:tcPr>
          <w:p>
            <w:r>
              <w:t>7 years from expiry</w:t>
            </w:r>
          </w:p>
        </w:tc>
      </w:tr>
      <w:tr>
        <w:tc>
          <w:tcPr>
            <w:tcW w:type="dxa" w:w="4320"/>
          </w:tcPr>
          <w:p>
            <w:r>
              <w:t>Purchase orders</w:t>
            </w:r>
          </w:p>
        </w:tc>
        <w:tc>
          <w:tcPr>
            <w:tcW w:type="dxa" w:w="4320"/>
          </w:tcPr>
          <w:p>
            <w:r>
              <w:t>7 years</w:t>
            </w:r>
          </w:p>
        </w:tc>
      </w:tr>
      <w:tr>
        <w:tc>
          <w:tcPr>
            <w:tcW w:type="dxa" w:w="4320"/>
          </w:tcPr>
          <w:p>
            <w:r>
              <w:t>Quotations and RFQ responses</w:t>
            </w:r>
          </w:p>
        </w:tc>
        <w:tc>
          <w:tcPr>
            <w:tcW w:type="dxa" w:w="4320"/>
          </w:tcPr>
          <w:p>
            <w:r>
              <w:t>3 years</w:t>
            </w:r>
          </w:p>
        </w:tc>
      </w:tr>
      <w:tr>
        <w:tc>
          <w:tcPr>
            <w:tcW w:type="dxa" w:w="4320"/>
          </w:tcPr>
          <w:p>
            <w:r>
              <w:t>Tender evaluation reports</w:t>
            </w:r>
          </w:p>
        </w:tc>
        <w:tc>
          <w:tcPr>
            <w:tcW w:type="dxa" w:w="4320"/>
          </w:tcPr>
          <w:p>
            <w:r>
              <w:t>7 years</w:t>
            </w:r>
          </w:p>
        </w:tc>
      </w:tr>
      <w:tr>
        <w:tc>
          <w:tcPr>
            <w:tcW w:type="dxa" w:w="4320"/>
          </w:tcPr>
          <w:p>
            <w:r>
              <w:t>Payment records</w:t>
            </w:r>
          </w:p>
        </w:tc>
        <w:tc>
          <w:tcPr>
            <w:tcW w:type="dxa" w:w="4320"/>
          </w:tcPr>
          <w:p>
            <w:r>
              <w:t>7 years</w:t>
            </w:r>
          </w:p>
        </w:tc>
      </w:tr>
      <w:tr>
        <w:tc>
          <w:tcPr>
            <w:tcW w:type="dxa" w:w="4320"/>
          </w:tcPr>
          <w:p>
            <w:r>
              <w:t>Conflict of interest declarations</w:t>
            </w:r>
          </w:p>
        </w:tc>
        <w:tc>
          <w:tcPr>
            <w:tcW w:type="dxa" w:w="4320"/>
          </w:tcPr>
          <w:p>
            <w:r>
              <w:t>7 years</w:t>
            </w:r>
          </w:p>
        </w:tc>
      </w:tr>
    </w:tbl>
    <w:p>
      <w:pPr>
        <w:pStyle w:val="Heading1"/>
      </w:pPr>
      <w:r>
        <w:rPr>
          <w:color w:val="1E3A8A"/>
        </w:rPr>
        <w:t>SECTION 8: SUSTAINABILITY &amp; ESG PROCUREMENT</w:t>
      </w:r>
    </w:p>
    <w:p>
      <w:r>
        <w:rPr>
          <w:b w:val="0"/>
          <w:i w:val="0"/>
        </w:rPr>
        <w:t>8.1  ESG Supplier Assessment: Mandatory for all new contracts above RM 200,000. Covers environmental management, social responsibility, and governance practices.</w:t>
      </w:r>
    </w:p>
    <w:p>
      <w:r>
        <w:rPr>
          <w:b w:val="0"/>
          <w:i w:val="0"/>
        </w:rPr>
        <w:t>8.2  Environmental Certification: ISO 14001 preferred for high-environmental-impact categories. Non-certified suppliers in these categories must provide a documented environmental management plan.</w:t>
      </w:r>
    </w:p>
    <w:p>
      <w:r>
        <w:rPr>
          <w:b w:val="0"/>
          <w:i w:val="0"/>
        </w:rPr>
        <w:t>8.3  Local Sourcing Target: 40% of non-proprietary medical consumable spend from Malaysian-based suppliers by FY2028 (baseline FY2025: 28%).</w:t>
      </w:r>
    </w:p>
    <w:p>
      <w:r>
        <w:rPr>
          <w:b w:val="0"/>
          <w:i w:val="0"/>
        </w:rPr>
        <w:t>8.4  Carbon Footprint Reporting: Tier 1 suppliers (annual spend above RM 1,000,000) shall provide verified Scope 1 and Scope 2 emissions data from FY2027 onward as a condition of preferred supplier status.</w:t>
      </w:r>
    </w:p>
    <w:p>
      <w:r>
        <w:rPr>
          <w:b w:val="0"/>
          <w:i w:val="0"/>
        </w:rPr>
        <w:t>8.5  Modern Slavery Declaration: Mandatory for all international suppliers. Signed annually and reviewed by Head of Procurement.</w:t>
      </w:r>
    </w:p>
    <w:p>
      <w:r>
        <w:rPr>
          <w:b w:val="0"/>
          <w:i w:val="0"/>
        </w:rPr>
        <w:t>8.6  Sustainable Packaging: Required for all supply contracts above RM 500,000 from FY2027.</w:t>
      </w:r>
    </w:p>
    <w:p/>
    <w:p>
      <w:r>
        <w:rPr>
          <w:b w:val="0"/>
          <w:i w:val="0"/>
        </w:rPr>
        <w:t>8.7  ESG Weighting in Procurement Scoring:</w:t>
      </w:r>
    </w:p>
    <w:p>
      <w:pPr>
        <w:pStyle w:val="ListBullet"/>
      </w:pPr>
      <w:r>
        <w:t>Standard ESG weight in supplier scorecard: 5%</w:t>
      </w:r>
    </w:p>
    <w:p>
      <w:pPr>
        <w:pStyle w:val="ListBullet"/>
      </w:pPr>
      <w:r>
        <w:t>High-impact categories: ESG weight may be increased to 10% with CFO approval</w:t>
      </w:r>
    </w:p>
    <w:p>
      <w:pPr>
        <w:pStyle w:val="ListBullet"/>
      </w:pPr>
      <w:r>
        <w:t>Suppliers scoring below 2.0 on ESG in high-impact categories will not be recommended for contract award</w:t>
      </w:r>
    </w:p>
    <w:p/>
    <w:p/>
    <w:p>
      <w:pPr>
        <w:jc w:val="center"/>
      </w:pPr>
      <w:r>
        <w:rPr>
          <w:b/>
          <w:i w:val="0"/>
        </w:rPr>
        <w:t>--- END OF POLICY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