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  <w:shd w:val="clear" w:color="auto" w:fill="C00000"/>
      </w:pPr>
      <w:r>
        <w:rPr>
          <w:b/>
          <w:color w:val="FFFFFF"/>
          <w:sz w:val="40"/>
        </w:rPr>
        <w:t>REQUEST FOR PROPOSAL (RFP)</w:t>
      </w:r>
    </w:p>
    <w:p>
      <w:pPr>
        <w:spacing w:before="0" w:after="160"/>
        <w:jc w:val="center"/>
        <w:shd w:val="clear" w:color="auto" w:fill="2E74B5"/>
      </w:pPr>
      <w:r>
        <w:rPr>
          <w:i/>
          <w:color w:val="FFFFFF"/>
          <w:sz w:val="20"/>
        </w:rPr>
        <w:t>TALENT ACQUISITION &amp; WORKFORCE MANAGEMENT PLATFORM</w:t>
      </w:r>
    </w:p>
    <w:p>
      <w:pPr>
        <w:spacing w:before="80" w:after="60"/>
      </w:pPr>
      <w:r>
        <w:rPr>
          <w:sz w:val="20"/>
        </w:rPr>
        <w:t>Reference Number : Zava Procurement-APAC-2025-RFP-001</w:t>
      </w:r>
    </w:p>
    <w:p>
      <w:pPr>
        <w:spacing w:after="60"/>
      </w:pPr>
      <w:r>
        <w:rPr>
          <w:sz w:val="20"/>
        </w:rPr>
        <w:t>Issue Date        : 1 April 2025</w:t>
      </w:r>
    </w:p>
    <w:p>
      <w:pPr>
        <w:spacing w:after="60"/>
      </w:pPr>
      <w:r>
        <w:rPr>
          <w:sz w:val="20"/>
        </w:rPr>
        <w:t>Submission Deadline: 30 April 2025, 5:00 PM (GMT+8)</w:t>
      </w:r>
    </w:p>
    <w:p>
      <w:pPr>
        <w:spacing w:after="60"/>
      </w:pPr>
      <w:r>
        <w:rPr>
          <w:sz w:val="20"/>
        </w:rPr>
        <w:t>Issuing Authority : Zava Procurement Malaysia Sdn. Bhd. on behalf of Zava Procurement APAC</w:t>
      </w:r>
    </w:p>
    <w:p>
      <w:pPr>
        <w:spacing w:before="160" w:after="40"/>
      </w:pPr>
      <w:r>
        <w:rPr>
          <w:b/>
          <w:color w:val="1F4E79"/>
          <w:sz w:val="22"/>
        </w:rPr>
        <w:t>1. EXECUTIVE SUMMARY</w:t>
      </w:r>
    </w:p>
    <w:p>
      <w:pPr>
        <w:spacing w:before="80" w:after="60"/>
      </w:pPr>
      <w:r>
        <w:rPr>
          <w:sz w:val="20"/>
        </w:rPr>
        <w:t>Zava Procurement APAC ("the Company") is a leading workforce solutions provider operating</w:t>
      </w:r>
    </w:p>
    <w:p>
      <w:pPr>
        <w:spacing w:after="60"/>
      </w:pPr>
      <w:r>
        <w:rPr>
          <w:sz w:val="20"/>
        </w:rPr>
        <w:t>across 13 markets in Asia Pacific, with key operational hubs in Malaysia,</w:t>
      </w:r>
    </w:p>
    <w:p>
      <w:pPr>
        <w:spacing w:after="60"/>
      </w:pPr>
      <w:r>
        <w:rPr>
          <w:sz w:val="20"/>
        </w:rPr>
        <w:t>Singapore, and Australia. With over 65,000 annual placements, 80+ offices, and</w:t>
      </w:r>
    </w:p>
    <w:p>
      <w:pPr>
        <w:spacing w:after="60"/>
      </w:pPr>
      <w:r>
        <w:rPr>
          <w:sz w:val="20"/>
        </w:rPr>
        <w:t>40 years of industry expertise, we are seeking a next-generation Talent</w:t>
      </w:r>
    </w:p>
    <w:p>
      <w:pPr>
        <w:spacing w:after="60"/>
      </w:pPr>
      <w:r>
        <w:rPr>
          <w:sz w:val="20"/>
        </w:rPr>
        <w:t>Acquisition &amp; Workforce Management Platform to unify our operations, enhance</w:t>
      </w:r>
    </w:p>
    <w:p>
      <w:pPr>
        <w:spacing w:after="60"/>
      </w:pPr>
      <w:r>
        <w:rPr>
          <w:sz w:val="20"/>
        </w:rPr>
        <w:t>recruiter productivity, and deliver superior candidate experiences across all</w:t>
      </w:r>
    </w:p>
    <w:p>
      <w:pPr>
        <w:spacing w:after="60"/>
      </w:pPr>
      <w:r>
        <w:rPr>
          <w:sz w:val="20"/>
        </w:rPr>
        <w:t>three anchor markets.</w:t>
      </w:r>
    </w:p>
    <w:p>
      <w:pPr>
        <w:spacing w:before="80" w:after="60"/>
      </w:pPr>
      <w:r>
        <w:rPr>
          <w:sz w:val="20"/>
        </w:rPr>
        <w:t>This RFP invites qualified vendors to submit detailed proposals for the supply,</w:t>
      </w:r>
    </w:p>
    <w:p>
      <w:pPr>
        <w:spacing w:after="60"/>
      </w:pPr>
      <w:r>
        <w:rPr>
          <w:sz w:val="20"/>
        </w:rPr>
        <w:t>implementation, and ongoing support of an integrated platform.</w:t>
      </w:r>
    </w:p>
    <w:p>
      <w:pPr>
        <w:spacing w:before="160" w:after="40"/>
      </w:pPr>
      <w:r>
        <w:rPr>
          <w:b/>
          <w:color w:val="1F4E79"/>
          <w:sz w:val="22"/>
        </w:rPr>
        <w:t>2. COMPANY BACKGROUND</w:t>
      </w:r>
    </w:p>
    <w:p>
      <w:pPr>
        <w:spacing w:before="80" w:after="60"/>
      </w:pPr>
      <w:r>
        <w:rPr>
          <w:sz w:val="20"/>
        </w:rPr>
        <w:t>2.1 About Zava Procurement APAC</w:t>
      </w:r>
    </w:p>
    <w:p>
      <w:pPr>
        <w:pStyle w:val="ListBullet"/>
        <w:ind w:left="283"/>
      </w:pPr>
      <w:r>
        <w:rPr>
          <w:sz w:val="20"/>
        </w:rPr>
        <w:t>Headquarters: Kuala Lumpur, Malaysia (Regional HQ)</w:t>
      </w:r>
    </w:p>
    <w:p>
      <w:pPr>
        <w:pStyle w:val="ListBullet"/>
        <w:ind w:left="283"/>
      </w:pPr>
      <w:r>
        <w:rPr>
          <w:sz w:val="20"/>
        </w:rPr>
        <w:t>Key Markets: Malaysia, Singapore, Australia (primary scope of this RFP)</w:t>
      </w:r>
    </w:p>
    <w:p>
      <w:pPr>
        <w:pStyle w:val="ListBullet"/>
        <w:ind w:left="283"/>
      </w:pPr>
      <w:r>
        <w:rPr>
          <w:sz w:val="20"/>
        </w:rPr>
        <w:t>Workforce Managed: ~85,000 active temporary/contract workers at any given time</w:t>
      </w:r>
    </w:p>
    <w:p>
      <w:pPr>
        <w:pStyle w:val="ListBullet"/>
        <w:ind w:left="283"/>
      </w:pPr>
      <w:r>
        <w:rPr>
          <w:sz w:val="20"/>
        </w:rPr>
        <w:t>Permanent Placements: 65,000+ annually</w:t>
      </w:r>
    </w:p>
    <w:p>
      <w:pPr>
        <w:pStyle w:val="ListBullet"/>
        <w:ind w:left="283"/>
      </w:pPr>
      <w:r>
        <w:rPr>
          <w:sz w:val="20"/>
        </w:rPr>
        <w:t>Industries Served: Banking &amp; Finance, IT, Healthcare, Engineering, Contact</w:t>
      </w:r>
    </w:p>
    <w:p>
      <w:pPr>
        <w:spacing w:after="60"/>
      </w:pPr>
      <w:r>
        <w:rPr>
          <w:sz w:val="20"/>
        </w:rPr>
        <w:t>Centre, Accounting, Sales &amp; Marketing, Procurement</w:t>
      </w:r>
    </w:p>
    <w:p>
      <w:pPr>
        <w:spacing w:before="80" w:after="60"/>
      </w:pPr>
      <w:r>
        <w:rPr>
          <w:sz w:val="20"/>
        </w:rPr>
        <w:t>2.2 Current Landscape</w:t>
      </w:r>
    </w:p>
    <w:p>
      <w:pPr>
        <w:spacing w:after="60"/>
      </w:pPr>
      <w:r>
        <w:rPr>
          <w:sz w:val="20"/>
        </w:rPr>
        <w:t>The Company currently operates with a fragmented set of legacy systems:</w:t>
      </w:r>
    </w:p>
    <w:p>
      <w:pPr>
        <w:pStyle w:val="ListBullet"/>
        <w:ind w:left="283"/>
      </w:pPr>
      <w:r>
        <w:rPr>
          <w:sz w:val="20"/>
        </w:rPr>
        <w:t>3 separate ATS platforms across MY, SG, AU</w:t>
      </w:r>
    </w:p>
    <w:p>
      <w:pPr>
        <w:pStyle w:val="ListBullet"/>
        <w:ind w:left="283"/>
      </w:pPr>
      <w:r>
        <w:rPr>
          <w:sz w:val="20"/>
        </w:rPr>
        <w:t>Manual payroll processing for temporary workers in Malaysia</w:t>
      </w:r>
    </w:p>
    <w:p>
      <w:pPr>
        <w:pStyle w:val="ListBullet"/>
        <w:ind w:left="283"/>
      </w:pPr>
      <w:r>
        <w:rPr>
          <w:sz w:val="20"/>
        </w:rPr>
        <w:t>No unified candidate database across markets</w:t>
      </w:r>
    </w:p>
    <w:p>
      <w:pPr>
        <w:pStyle w:val="ListBullet"/>
        <w:ind w:left="283"/>
      </w:pPr>
      <w:r>
        <w:rPr>
          <w:sz w:val="20"/>
        </w:rPr>
        <w:t>Limited analytics and reporting capabilities</w:t>
      </w:r>
    </w:p>
    <w:p>
      <w:pPr>
        <w:pStyle w:val="ListBullet"/>
        <w:ind w:left="283"/>
      </w:pPr>
      <w:r>
        <w:rPr>
          <w:sz w:val="20"/>
        </w:rPr>
        <w:t>No mobile-friendly recruiter or candidate portal</w:t>
      </w:r>
    </w:p>
    <w:p>
      <w:pPr>
        <w:spacing w:before="160" w:after="40"/>
      </w:pPr>
      <w:r>
        <w:rPr>
          <w:b/>
          <w:color w:val="1F4E79"/>
          <w:sz w:val="22"/>
        </w:rPr>
        <w:t>3. SCOPE OF WORK</w:t>
      </w:r>
    </w:p>
    <w:p>
      <w:pPr>
        <w:spacing w:before="80" w:after="60"/>
      </w:pPr>
      <w:r>
        <w:rPr>
          <w:sz w:val="20"/>
        </w:rPr>
        <w:t>The selected vendor must provide a fully integrated platform covering:</w:t>
      </w:r>
    </w:p>
    <w:p>
      <w:pPr>
        <w:spacing w:before="80" w:after="60"/>
      </w:pPr>
      <w:r>
        <w:rPr>
          <w:sz w:val="20"/>
        </w:rPr>
        <w:t>3.1 Applicant Tracking System (ATS)</w:t>
      </w:r>
    </w:p>
    <w:p>
      <w:pPr>
        <w:pStyle w:val="ListBullet"/>
        <w:ind w:left="283"/>
      </w:pPr>
      <w:r>
        <w:rPr>
          <w:sz w:val="20"/>
        </w:rPr>
        <w:t>End-to-end recruitment workflow (job posting, CV screening, interview</w:t>
      </w:r>
    </w:p>
    <w:p>
      <w:pPr>
        <w:spacing w:after="60"/>
      </w:pPr>
      <w:r>
        <w:rPr>
          <w:sz w:val="20"/>
        </w:rPr>
        <w:t>scheduling, offer management, onboarding)</w:t>
      </w:r>
    </w:p>
    <w:p>
      <w:pPr>
        <w:pStyle w:val="ListBullet"/>
        <w:ind w:left="283"/>
      </w:pPr>
      <w:r>
        <w:rPr>
          <w:sz w:val="20"/>
        </w:rPr>
        <w:t>AI-powered candidate matching and ranking</w:t>
      </w:r>
    </w:p>
    <w:p>
      <w:pPr>
        <w:pStyle w:val="ListBullet"/>
        <w:ind w:left="283"/>
      </w:pPr>
      <w:r>
        <w:rPr>
          <w:sz w:val="20"/>
        </w:rPr>
        <w:t>Integration with major job boards: JobStreet (MY/SG), Seek (AU), LinkedIn,</w:t>
      </w:r>
    </w:p>
    <w:p>
      <w:pPr>
        <w:spacing w:after="60"/>
      </w:pPr>
      <w:r>
        <w:rPr>
          <w:sz w:val="20"/>
        </w:rPr>
        <w:t>Indeed, and local government portals (e.g., MyFutureJobs Malaysia,</w:t>
      </w:r>
    </w:p>
    <w:p>
      <w:pPr>
        <w:spacing w:after="60"/>
      </w:pPr>
      <w:r>
        <w:rPr>
          <w:sz w:val="20"/>
        </w:rPr>
        <w:t>WSG Singapore, jobactive Australia)</w:t>
      </w:r>
    </w:p>
    <w:p>
      <w:pPr>
        <w:pStyle w:val="ListBullet"/>
        <w:ind w:left="283"/>
      </w:pPr>
      <w:r>
        <w:rPr>
          <w:sz w:val="20"/>
        </w:rPr>
        <w:t>Bulk hiring workflows for high-volume temporary staffing</w:t>
      </w:r>
    </w:p>
    <w:p>
      <w:pPr>
        <w:pStyle w:val="ListBullet"/>
        <w:ind w:left="283"/>
      </w:pPr>
      <w:r>
        <w:rPr>
          <w:sz w:val="20"/>
        </w:rPr>
        <w:t>Configurable workflows per market/business unit</w:t>
      </w:r>
    </w:p>
    <w:p>
      <w:pPr>
        <w:spacing w:before="80" w:after="60"/>
      </w:pPr>
      <w:r>
        <w:rPr>
          <w:sz w:val="20"/>
        </w:rPr>
        <w:t>3.2 Workforce Management</w:t>
      </w:r>
    </w:p>
    <w:p>
      <w:pPr>
        <w:pStyle w:val="ListBullet"/>
        <w:ind w:left="283"/>
      </w:pPr>
      <w:r>
        <w:rPr>
          <w:sz w:val="20"/>
        </w:rPr>
        <w:t>Temp/contract worker lifecycle management</w:t>
      </w:r>
    </w:p>
    <w:p>
      <w:pPr>
        <w:pStyle w:val="ListBullet"/>
        <w:ind w:left="283"/>
      </w:pPr>
      <w:r>
        <w:rPr>
          <w:sz w:val="20"/>
        </w:rPr>
        <w:t>Digital timesheet submission and approval (mobile-first)</w:t>
      </w:r>
    </w:p>
    <w:p>
      <w:pPr>
        <w:pStyle w:val="ListBullet"/>
        <w:ind w:left="283"/>
      </w:pPr>
      <w:r>
        <w:rPr>
          <w:sz w:val="20"/>
        </w:rPr>
        <w:t>Shift scheduling and assignment management</w:t>
      </w:r>
    </w:p>
    <w:p>
      <w:pPr>
        <w:pStyle w:val="ListBullet"/>
        <w:ind w:left="283"/>
      </w:pPr>
      <w:r>
        <w:rPr>
          <w:sz w:val="20"/>
        </w:rPr>
        <w:t>Leave and absence management compliant with:</w:t>
      </w:r>
    </w:p>
    <w:p>
      <w:pPr>
        <w:pStyle w:val="ListBullet"/>
        <w:ind w:left="283"/>
      </w:pPr>
      <w:r>
        <w:rPr>
          <w:sz w:val="20"/>
        </w:rPr>
        <w:t>Malaysia Employment Act 1955 (amended 2022)</w:t>
      </w:r>
    </w:p>
    <w:p>
      <w:pPr>
        <w:pStyle w:val="ListBullet"/>
        <w:ind w:left="283"/>
      </w:pPr>
      <w:r>
        <w:rPr>
          <w:sz w:val="20"/>
        </w:rPr>
        <w:t>Singapore Employment Act (Cap. 91A)</w:t>
      </w:r>
    </w:p>
    <w:p>
      <w:pPr>
        <w:pStyle w:val="ListBullet"/>
        <w:ind w:left="283"/>
      </w:pPr>
      <w:r>
        <w:rPr>
          <w:sz w:val="20"/>
        </w:rPr>
        <w:t>Australian Fair Work Act 2009 &amp; National Employment Standards (NES)</w:t>
      </w:r>
    </w:p>
    <w:p>
      <w:pPr>
        <w:pStyle w:val="ListBullet"/>
        <w:ind w:left="283"/>
      </w:pPr>
      <w:r>
        <w:rPr>
          <w:sz w:val="20"/>
        </w:rPr>
        <w:t>Worker self-service portal (Bahasa Malaysia, English, Simplified Chinese,</w:t>
      </w:r>
    </w:p>
    <w:p>
      <w:pPr>
        <w:spacing w:after="60"/>
      </w:pPr>
      <w:r>
        <w:rPr>
          <w:sz w:val="20"/>
        </w:rPr>
        <w:t>Tamil support required for MY; English for SG and AU)</w:t>
      </w:r>
    </w:p>
    <w:p>
      <w:pPr>
        <w:spacing w:before="80" w:after="60"/>
      </w:pPr>
      <w:r>
        <w:rPr>
          <w:sz w:val="20"/>
        </w:rPr>
        <w:t>3.3 Payroll Integration</w:t>
      </w:r>
    </w:p>
    <w:p>
      <w:pPr>
        <w:pStyle w:val="ListBullet"/>
        <w:ind w:left="283"/>
      </w:pPr>
      <w:r>
        <w:rPr>
          <w:sz w:val="20"/>
        </w:rPr>
        <w:t>Integration (not replacement) with existing payroll systems:</w:t>
      </w:r>
    </w:p>
    <w:p>
      <w:pPr>
        <w:pStyle w:val="ListBullet"/>
        <w:ind w:left="283"/>
      </w:pPr>
      <w:r>
        <w:rPr>
          <w:sz w:val="20"/>
        </w:rPr>
        <w:t>MY: ADP Streamline</w:t>
      </w:r>
    </w:p>
    <w:p>
      <w:pPr>
        <w:pStyle w:val="ListBullet"/>
        <w:ind w:left="283"/>
      </w:pPr>
      <w:r>
        <w:rPr>
          <w:sz w:val="20"/>
        </w:rPr>
        <w:t>SG: Talenox</w:t>
      </w:r>
    </w:p>
    <w:p>
      <w:pPr>
        <w:pStyle w:val="ListBullet"/>
        <w:ind w:left="283"/>
      </w:pPr>
      <w:r>
        <w:rPr>
          <w:sz w:val="20"/>
        </w:rPr>
        <w:t>AU: Keypay / Employment Hero</w:t>
      </w:r>
    </w:p>
    <w:p>
      <w:pPr>
        <w:pStyle w:val="ListBullet"/>
        <w:ind w:left="283"/>
      </w:pPr>
      <w:r>
        <w:rPr>
          <w:sz w:val="20"/>
        </w:rPr>
        <w:t>Automated payroll data export with statutory deductions:</w:t>
      </w:r>
    </w:p>
    <w:p>
      <w:pPr>
        <w:pStyle w:val="ListBullet"/>
        <w:ind w:left="283"/>
      </w:pPr>
      <w:r>
        <w:rPr>
          <w:sz w:val="20"/>
        </w:rPr>
        <w:t>MY: EPF (KWSP), SOCSO (PERKESO), EIS, PCB (tax)</w:t>
      </w:r>
    </w:p>
    <w:p>
      <w:pPr>
        <w:pStyle w:val="ListBullet"/>
        <w:ind w:left="283"/>
      </w:pPr>
      <w:r>
        <w:rPr>
          <w:sz w:val="20"/>
        </w:rPr>
        <w:t>SG: CPF contributions</w:t>
      </w:r>
    </w:p>
    <w:p>
      <w:pPr>
        <w:pStyle w:val="ListBullet"/>
        <w:ind w:left="283"/>
      </w:pPr>
      <w:r>
        <w:rPr>
          <w:sz w:val="20"/>
        </w:rPr>
        <w:t>AU: Superannuation, PAYG withholding, Single Touch Payroll (STP2)</w:t>
      </w:r>
    </w:p>
    <w:p>
      <w:pPr>
        <w:pStyle w:val="ListBullet"/>
        <w:ind w:left="283"/>
      </w:pPr>
      <w:r>
        <w:rPr>
          <w:sz w:val="20"/>
        </w:rPr>
        <w:t>Multi-currency support: MYR, SGD, AUD</w:t>
      </w:r>
    </w:p>
    <w:p>
      <w:pPr>
        <w:spacing w:before="80" w:after="60"/>
      </w:pPr>
      <w:r>
        <w:rPr>
          <w:sz w:val="20"/>
        </w:rPr>
        <w:t>3.4 Analytics &amp; Reporting</w:t>
      </w:r>
    </w:p>
    <w:p>
      <w:pPr>
        <w:pStyle w:val="ListBullet"/>
        <w:ind w:left="283"/>
      </w:pPr>
      <w:r>
        <w:rPr>
          <w:sz w:val="20"/>
        </w:rPr>
        <w:t>Real-time recruitment dashboards (time-to-fill, cost-per-hire, source</w:t>
      </w:r>
    </w:p>
    <w:p>
      <w:pPr>
        <w:spacing w:after="60"/>
      </w:pPr>
      <w:r>
        <w:rPr>
          <w:sz w:val="20"/>
        </w:rPr>
        <w:t>effectiveness)</w:t>
      </w:r>
    </w:p>
    <w:p>
      <w:pPr>
        <w:pStyle w:val="ListBullet"/>
        <w:ind w:left="283"/>
      </w:pPr>
      <w:r>
        <w:rPr>
          <w:sz w:val="20"/>
        </w:rPr>
        <w:t>Compliance reporting per market</w:t>
      </w:r>
    </w:p>
    <w:p>
      <w:pPr>
        <w:pStyle w:val="ListBullet"/>
        <w:ind w:left="283"/>
      </w:pPr>
      <w:r>
        <w:rPr>
          <w:sz w:val="20"/>
        </w:rPr>
        <w:t>Headcount and workforce utilisation reports</w:t>
      </w:r>
    </w:p>
    <w:p>
      <w:pPr>
        <w:pStyle w:val="ListBullet"/>
        <w:ind w:left="283"/>
      </w:pPr>
      <w:r>
        <w:rPr>
          <w:sz w:val="20"/>
        </w:rPr>
        <w:t>Executive C-suite dashboard with cross-market consolidated view</w:t>
      </w:r>
    </w:p>
    <w:p>
      <w:pPr>
        <w:pStyle w:val="ListBullet"/>
        <w:ind w:left="283"/>
      </w:pPr>
      <w:r>
        <w:rPr>
          <w:sz w:val="20"/>
        </w:rPr>
        <w:t>Ability to export to Excel, PowerPoint, and PDF</w:t>
      </w:r>
    </w:p>
    <w:p>
      <w:pPr>
        <w:spacing w:before="80" w:after="60"/>
      </w:pPr>
      <w:r>
        <w:rPr>
          <w:sz w:val="20"/>
        </w:rPr>
        <w:t>3.5 Compliance &amp; Data Governance</w:t>
      </w:r>
    </w:p>
    <w:p>
      <w:pPr>
        <w:pStyle w:val="ListBullet"/>
        <w:ind w:left="283"/>
      </w:pPr>
      <w:r>
        <w:rPr>
          <w:sz w:val="20"/>
        </w:rPr>
        <w:t>Malaysia: Personal Data Protection Act 2010 (PDPA)</w:t>
      </w:r>
    </w:p>
    <w:p>
      <w:pPr>
        <w:pStyle w:val="ListBullet"/>
        <w:ind w:left="283"/>
      </w:pPr>
      <w:r>
        <w:rPr>
          <w:sz w:val="20"/>
        </w:rPr>
        <w:t>Singapore: Personal Data Protection Act 2012 (PDPA SG)</w:t>
      </w:r>
    </w:p>
    <w:p>
      <w:pPr>
        <w:pStyle w:val="ListBullet"/>
        <w:ind w:left="283"/>
      </w:pPr>
      <w:r>
        <w:rPr>
          <w:sz w:val="20"/>
        </w:rPr>
        <w:t>Australia: Privacy Act 1988 (including Australian Privacy Principles)</w:t>
      </w:r>
    </w:p>
    <w:p>
      <w:pPr>
        <w:pStyle w:val="ListBullet"/>
        <w:ind w:left="283"/>
      </w:pPr>
      <w:r>
        <w:rPr>
          <w:sz w:val="20"/>
        </w:rPr>
        <w:t>ISO 27001 certified data centres</w:t>
      </w:r>
    </w:p>
    <w:p>
      <w:pPr>
        <w:pStyle w:val="ListBullet"/>
        <w:ind w:left="283"/>
      </w:pPr>
      <w:r>
        <w:rPr>
          <w:sz w:val="20"/>
        </w:rPr>
        <w:t>Data residency: Vendor must confirm data stored within APAC region</w:t>
      </w:r>
    </w:p>
    <w:p>
      <w:pPr>
        <w:spacing w:after="60"/>
      </w:pPr>
      <w:r>
        <w:rPr>
          <w:sz w:val="20"/>
        </w:rPr>
        <w:t>(preferred: Singapore or Australia)</w:t>
      </w:r>
    </w:p>
    <w:p>
      <w:pPr>
        <w:spacing w:before="80" w:after="60"/>
      </w:pPr>
      <w:r>
        <w:rPr>
          <w:sz w:val="20"/>
        </w:rPr>
        <w:t>3.6 Integration &amp; Technical Requirements</w:t>
      </w:r>
    </w:p>
    <w:p>
      <w:pPr>
        <w:pStyle w:val="ListBullet"/>
        <w:ind w:left="283"/>
      </w:pPr>
      <w:r>
        <w:rPr>
          <w:sz w:val="20"/>
        </w:rPr>
        <w:t>RESTful API availability for all core modules</w:t>
      </w:r>
    </w:p>
    <w:p>
      <w:pPr>
        <w:pStyle w:val="ListBullet"/>
        <w:ind w:left="283"/>
      </w:pPr>
      <w:r>
        <w:rPr>
          <w:sz w:val="20"/>
        </w:rPr>
        <w:t>SSO via Azure Active Directory (Microsoft Entra ID)</w:t>
      </w:r>
    </w:p>
    <w:p>
      <w:pPr>
        <w:pStyle w:val="ListBullet"/>
        <w:ind w:left="283"/>
      </w:pPr>
      <w:r>
        <w:rPr>
          <w:sz w:val="20"/>
        </w:rPr>
        <w:t>Microsoft Teams integration (interview scheduling, notifications)</w:t>
      </w:r>
    </w:p>
    <w:p>
      <w:pPr>
        <w:pStyle w:val="ListBullet"/>
        <w:ind w:left="283"/>
      </w:pPr>
      <w:r>
        <w:rPr>
          <w:sz w:val="20"/>
        </w:rPr>
        <w:t>Mobile apps for iOS and Android (recruiter and candidate-facing)</w:t>
      </w:r>
    </w:p>
    <w:p>
      <w:pPr>
        <w:pStyle w:val="ListBullet"/>
        <w:ind w:left="283"/>
      </w:pPr>
      <w:r>
        <w:rPr>
          <w:sz w:val="20"/>
        </w:rPr>
        <w:t>Uptime SLA: minimum 99.9% availability</w:t>
      </w:r>
    </w:p>
    <w:p>
      <w:pPr>
        <w:spacing w:before="80" w:after="60"/>
      </w:pPr>
      <w:r>
        <w:rPr>
          <w:sz w:val="20"/>
        </w:rPr>
        <w:t>3.7 Implementation &amp; Support</w:t>
      </w:r>
    </w:p>
    <w:p>
      <w:pPr>
        <w:pStyle w:val="ListBullet"/>
        <w:ind w:left="283"/>
      </w:pPr>
      <w:r>
        <w:rPr>
          <w:sz w:val="20"/>
        </w:rPr>
        <w:t>Phased implementation: Pilot in Malaysia (Month 1-3), Singapore (Month 4-5),</w:t>
      </w:r>
    </w:p>
    <w:p>
      <w:pPr>
        <w:spacing w:after="60"/>
      </w:pPr>
      <w:r>
        <w:rPr>
          <w:sz w:val="20"/>
        </w:rPr>
        <w:t>Australia (Month 6-8)</w:t>
      </w:r>
    </w:p>
    <w:p>
      <w:pPr>
        <w:pStyle w:val="ListBullet"/>
        <w:ind w:left="283"/>
      </w:pPr>
      <w:r>
        <w:rPr>
          <w:sz w:val="20"/>
        </w:rPr>
        <w:t>Dedicated APAC-based implementation team</w:t>
      </w:r>
    </w:p>
    <w:p>
      <w:pPr>
        <w:pStyle w:val="ListBullet"/>
        <w:ind w:left="283"/>
      </w:pPr>
      <w:r>
        <w:rPr>
          <w:sz w:val="20"/>
        </w:rPr>
        <w:t>24/5 technical support (English; Bahasa Malaysia for MY issues preferred)</w:t>
      </w:r>
    </w:p>
    <w:p>
      <w:pPr>
        <w:pStyle w:val="ListBullet"/>
        <w:ind w:left="283"/>
      </w:pPr>
      <w:r>
        <w:rPr>
          <w:sz w:val="20"/>
        </w:rPr>
        <w:t>Training: Admin training, recruiter training, end-user training</w:t>
      </w:r>
    </w:p>
    <w:p>
      <w:pPr>
        <w:pStyle w:val="ListBullet"/>
        <w:ind w:left="283"/>
      </w:pPr>
      <w:r>
        <w:rPr>
          <w:sz w:val="20"/>
        </w:rPr>
        <w:t>Hypercare support: 30 days post go-live per market</w:t>
      </w:r>
    </w:p>
    <w:p>
      <w:pPr>
        <w:spacing w:before="160" w:after="40"/>
      </w:pPr>
      <w:r>
        <w:rPr>
          <w:b/>
          <w:color w:val="1F4E79"/>
          <w:sz w:val="22"/>
        </w:rPr>
        <w:t>4. CONTRACT TERMS</w:t>
      </w:r>
    </w:p>
    <w:p>
      <w:pPr>
        <w:spacing w:before="80" w:after="60"/>
      </w:pPr>
      <w:r>
        <w:rPr>
          <w:sz w:val="20"/>
        </w:rPr>
        <w:t>4.1 Contract Duration : 3 years with option to extend for 2 additional years</w:t>
      </w:r>
    </w:p>
    <w:p>
      <w:pPr>
        <w:spacing w:after="60"/>
      </w:pPr>
      <w:r>
        <w:rPr>
          <w:sz w:val="20"/>
        </w:rPr>
        <w:t>4.2 Pricing Model    : Annual SaaS subscription + one-time implementation fee</w:t>
      </w:r>
    </w:p>
    <w:p>
      <w:pPr>
        <w:spacing w:after="60"/>
      </w:pPr>
      <w:r>
        <w:rPr>
          <w:sz w:val="20"/>
        </w:rPr>
        <w:t>4.3 Payment Terms    : Quarterly in advance</w:t>
      </w:r>
    </w:p>
    <w:p>
      <w:pPr>
        <w:spacing w:before="20" w:after="20"/>
        <w:shd w:val="clear" w:color="auto" w:fill="F7F7F7"/>
      </w:pPr>
      <w:r>
        <w:rPr>
          <w:rFonts w:ascii="Courier New" w:hAnsi="Courier New"/>
          <w:color w:val="202020"/>
          <w:sz w:val="17"/>
        </w:rPr>
        <w:t>4.4 Penalties        : SLA breach penalties apply (details in Annex B)</w:t>
      </w:r>
    </w:p>
    <w:p>
      <w:pPr>
        <w:spacing w:after="60"/>
      </w:pPr>
      <w:r>
        <w:rPr>
          <w:sz w:val="20"/>
        </w:rPr>
        <w:t>4.5 Governing Law    : Laws of Malaysia (for master agreement)</w:t>
      </w:r>
    </w:p>
    <w:p>
      <w:pPr>
        <w:spacing w:before="160" w:after="40"/>
      </w:pPr>
      <w:r>
        <w:rPr>
          <w:b/>
          <w:color w:val="1F4E79"/>
          <w:sz w:val="22"/>
        </w:rPr>
        <w:t>5. PROPOSAL REQUIREMENTS</w:t>
      </w:r>
    </w:p>
    <w:p>
      <w:pPr>
        <w:spacing w:before="80" w:after="60"/>
      </w:pPr>
      <w:r>
        <w:rPr>
          <w:sz w:val="20"/>
        </w:rPr>
        <w:t>Vendors must submit:</w:t>
      </w:r>
    </w:p>
    <w:p>
      <w:pPr>
        <w:spacing w:after="60"/>
      </w:pPr>
      <w:r>
        <w:rPr>
          <w:sz w:val="20"/>
        </w:rPr>
        <w:t>(a) Company Profile &amp; References (min. 3 APAC HR/staffing company references)</w:t>
      </w:r>
    </w:p>
    <w:p>
      <w:pPr>
        <w:spacing w:after="60"/>
      </w:pPr>
      <w:r>
        <w:rPr>
          <w:sz w:val="20"/>
        </w:rPr>
        <w:t>(b) Detailed solution description mapped to each requirement in Section 3</w:t>
      </w:r>
    </w:p>
    <w:p>
      <w:pPr>
        <w:spacing w:after="60"/>
      </w:pPr>
      <w:r>
        <w:rPr>
          <w:sz w:val="20"/>
        </w:rPr>
        <w:t>(c) Implementation plan with project milestones and team composition</w:t>
      </w:r>
    </w:p>
    <w:p>
      <w:pPr>
        <w:spacing w:after="60"/>
      </w:pPr>
      <w:r>
        <w:rPr>
          <w:sz w:val="20"/>
        </w:rPr>
        <w:t>(d) Pricing breakdown (SaaS license, implementation, training, support)</w:t>
      </w:r>
    </w:p>
    <w:p>
      <w:pPr>
        <w:spacing w:after="60"/>
      </w:pPr>
      <w:r>
        <w:rPr>
          <w:sz w:val="20"/>
        </w:rPr>
        <w:t>(e) Data security &amp; compliance documentation</w:t>
      </w:r>
    </w:p>
    <w:p>
      <w:pPr>
        <w:spacing w:after="60"/>
      </w:pPr>
      <w:r>
        <w:rPr>
          <w:sz w:val="20"/>
        </w:rPr>
        <w:t>(f) Sample analytics dashboard screenshots or demo video</w:t>
      </w:r>
    </w:p>
    <w:p>
      <w:pPr>
        <w:spacing w:after="60"/>
      </w:pPr>
      <w:r>
        <w:rPr>
          <w:sz w:val="20"/>
        </w:rPr>
        <w:t>(g) Signed Non-Disclosure Agreement (Annex A)</w:t>
      </w:r>
    </w:p>
    <w:p>
      <w:pPr>
        <w:spacing w:before="160" w:after="40"/>
      </w:pPr>
      <w:r>
        <w:rPr>
          <w:b/>
          <w:color w:val="1F4E79"/>
          <w:sz w:val="22"/>
        </w:rPr>
        <w:t>6. EVALUATION PROCESS</w:t>
      </w:r>
    </w:p>
    <w:p>
      <w:pPr>
        <w:spacing w:before="80" w:after="60"/>
      </w:pPr>
      <w:r>
        <w:rPr>
          <w:sz w:val="20"/>
        </w:rPr>
        <w:t>Stage 1 : RFP Submission Review &amp; Shortlisting (Pass/Fail)</w:t>
      </w:r>
    </w:p>
    <w:p>
      <w:pPr>
        <w:spacing w:after="60"/>
      </w:pPr>
      <w:r>
        <w:rPr>
          <w:sz w:val="20"/>
        </w:rPr>
        <w:t>Stage 2 : Scored Evaluation (see Evaluation Criteria Document)</w:t>
      </w:r>
    </w:p>
    <w:p>
      <w:pPr>
        <w:spacing w:after="60"/>
      </w:pPr>
      <w:r>
        <w:rPr>
          <w:sz w:val="20"/>
        </w:rPr>
        <w:t>Stage 3 : Product Demo &amp; Technical Deep-Dive (shortlisted vendors only)</w:t>
      </w:r>
    </w:p>
    <w:p>
      <w:pPr>
        <w:spacing w:after="60"/>
      </w:pPr>
      <w:r>
        <w:rPr>
          <w:sz w:val="20"/>
        </w:rPr>
        <w:t>Stage 4 : Reference Checks</w:t>
      </w:r>
    </w:p>
    <w:p>
      <w:pPr>
        <w:spacing w:after="60"/>
      </w:pPr>
      <w:r>
        <w:rPr>
          <w:sz w:val="20"/>
        </w:rPr>
        <w:t>Stage 5 : Commercial Negotiation &amp; Award</w:t>
      </w:r>
    </w:p>
    <w:p>
      <w:pPr>
        <w:spacing w:before="160" w:after="40"/>
      </w:pPr>
      <w:r>
        <w:rPr>
          <w:b/>
          <w:color w:val="1F4E79"/>
          <w:sz w:val="22"/>
        </w:rPr>
        <w:t>7. KEY CONTACTS</w:t>
      </w:r>
    </w:p>
    <w:p>
      <w:pPr>
        <w:spacing w:before="80" w:after="60"/>
      </w:pPr>
      <w:r>
        <w:rPr>
          <w:sz w:val="20"/>
        </w:rPr>
        <w:t>RFP Coordinator   : Nurul Ain binti Azman, Senior Procurement Manager</w:t>
      </w:r>
    </w:p>
    <w:p>
      <w:pPr>
        <w:spacing w:before="20" w:after="20"/>
        <w:shd w:val="clear" w:color="auto" w:fill="F7F7F7"/>
      </w:pPr>
      <w:r>
        <w:rPr>
          <w:rFonts w:ascii="Courier New" w:hAnsi="Courier New"/>
          <w:color w:val="202020"/>
          <w:sz w:val="17"/>
        </w:rPr>
        <w:t>Email             : rfp2025@Zava Procurement-apac.com (FICTIONAL)</w:t>
      </w:r>
    </w:p>
    <w:p>
      <w:pPr>
        <w:spacing w:before="20" w:after="20"/>
        <w:shd w:val="clear" w:color="auto" w:fill="F7F7F7"/>
      </w:pPr>
      <w:r>
        <w:rPr>
          <w:rFonts w:ascii="Courier New" w:hAnsi="Courier New"/>
          <w:color w:val="202020"/>
          <w:sz w:val="17"/>
        </w:rPr>
        <w:t>Address           : Level 28, Menara CIMB, Jalan Stesen Sentral 2,</w:t>
      </w:r>
    </w:p>
    <w:p>
      <w:pPr>
        <w:spacing w:before="20" w:after="20"/>
        <w:ind w:left="567"/>
      </w:pPr>
      <w:r>
        <w:rPr>
          <w:color w:val="404040"/>
          <w:sz w:val="19"/>
        </w:rPr>
        <w:t>KL Sentral, 50470 Kuala Lumpur, Malaysia</w:t>
      </w:r>
    </w:p>
    <w:p>
      <w:pPr>
        <w:spacing w:before="80" w:after="60"/>
      </w:pPr>
      <w:r>
        <w:rPr>
          <w:sz w:val="20"/>
        </w:rPr>
        <w:t>ANNEX A: NON-DISCLOSURE AGREEMENT (template to be signed and returned)</w:t>
      </w:r>
    </w:p>
    <w:p>
      <w:pPr>
        <w:spacing w:before="160" w:after="40"/>
      </w:pPr>
      <w:r>
        <w:rPr>
          <w:b/>
          <w:color w:val="1F4E79"/>
          <w:sz w:val="22"/>
        </w:rPr>
        <w:t>ANNEX B: SLA PENALTY SCHEDULE</w:t>
      </w:r>
    </w:p>
    <w:p>
      <w:pPr>
        <w:spacing w:before="160" w:after="40"/>
      </w:pPr>
      <w:r>
        <w:rPr>
          <w:b/>
          <w:color w:val="1F4E79"/>
          <w:sz w:val="22"/>
        </w:rPr>
        <w:t>ANNEX C: TECHNICAL ARCHITECTURE REQUIREMENTS SPECIFICATION</w:t>
      </w:r>
    </w:p>
    <w:p>
      <w:pPr>
        <w:spacing w:before="160" w:after="40"/>
      </w:pPr>
      <w:r>
        <w:rPr>
          <w:b/>
          <w:color w:val="1F4E79"/>
          <w:sz w:val="22"/>
        </w:rPr>
        <w:t>END OF TENDER DOCUMENT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