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  <w:shd w:val="clear" w:color="auto" w:fill="C00000"/>
      </w:pPr>
      <w:r>
        <w:rPr>
          <w:b/>
          <w:color w:val="FFFFFF"/>
          <w:sz w:val="40"/>
        </w:rPr>
        <w:t>TENDER EVALUATION CRITERIA &amp; SCORING FRAMEWORK</w:t>
      </w:r>
    </w:p>
    <w:p>
      <w:pPr>
        <w:spacing w:before="0" w:after="160"/>
        <w:jc w:val="center"/>
        <w:shd w:val="clear" w:color="auto" w:fill="2E74B5"/>
      </w:pPr>
      <w:r>
        <w:rPr>
          <w:i/>
          <w:color w:val="FFFFFF"/>
          <w:sz w:val="20"/>
        </w:rPr>
        <w:t>Zava Procurement-APAC-2025-RFP-001</w:t>
      </w:r>
    </w:p>
    <w:p>
      <w:pPr>
        <w:spacing w:before="80" w:after="60"/>
      </w:pPr>
      <w:r>
        <w:rPr>
          <w:sz w:val="20"/>
        </w:rPr>
        <w:t>Document Version : 1.0</w:t>
      </w:r>
    </w:p>
    <w:p>
      <w:pPr>
        <w:spacing w:after="60"/>
      </w:pPr>
      <w:r>
        <w:rPr>
          <w:sz w:val="20"/>
        </w:rPr>
        <w:t>Classification   : CONFIDENTIAL – EVALUATION COMMITTEE USE ONLY</w:t>
      </w:r>
    </w:p>
    <w:p>
      <w:pPr>
        <w:spacing w:after="60"/>
      </w:pPr>
      <w:r>
        <w:rPr>
          <w:sz w:val="20"/>
        </w:rPr>
        <w:t>Prepared by      : Zava Procurement APAC Procurement &amp; IT Committee</w:t>
      </w:r>
    </w:p>
    <w:p>
      <w:pPr>
        <w:spacing w:before="160" w:after="40"/>
      </w:pPr>
      <w:r>
        <w:rPr>
          <w:b/>
          <w:color w:val="1F4E79"/>
          <w:sz w:val="22"/>
        </w:rPr>
        <w:t>SCORING OVERVIEW</w:t>
      </w:r>
    </w:p>
    <w:p>
      <w:pPr>
        <w:spacing w:before="80" w:after="60"/>
      </w:pPr>
      <w:r>
        <w:rPr>
          <w:sz w:val="20"/>
        </w:rPr>
        <w:t>Total Available Score: 1000 points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Category                              | Max Points | Weight |</w:t>
      </w:r>
    </w:p>
    <w:p>
      <w:pPr>
        <w:spacing w:after="60"/>
      </w:pPr>
      <w:r>
        <w:rPr>
          <w:sz w:val="20"/>
        </w:rPr>
        <w:t>|---------------------------------------|------------|--------|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1. Functional Requirements            |    350     | 35.0%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2. Technical Architecture &amp; Security  |    150     | 15.0%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3. Compliance &amp; Data Governance       |    100     | 10.0%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4. Implementation Capability          |    100     | 10.0%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5. Vendor Stability &amp; References      |    100     | 10.0%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6. Commercial Pricing                 |    150     | 15.0%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7. Support &amp; Service Levels           |     50     |  5.0%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TOTAL                                 |   1000     | 100.0% |</w:t>
      </w:r>
    </w:p>
    <w:p>
      <w:pPr>
        <w:spacing w:before="80" w:after="60"/>
      </w:pPr>
      <w:r>
        <w:rPr>
          <w:sz w:val="20"/>
        </w:rPr>
        <w:t>CATEGORY 1: FUNCTIONAL REQUIREMENTS (350 points)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1.1 Applicant Tracking System (ATS)                          [Max: 120 pts]</w:t>
      </w:r>
    </w:p>
    <w:p>
      <w:pPr>
        <w:spacing w:after="60"/>
      </w:pPr>
      <w:r>
        <w:rPr>
          <w:sz w:val="20"/>
        </w:rPr>
        <w:t>Score 1-10 for each sub-criterion, multiply by weighting factor.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AI-powered candidate matching &amp; ranking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Integration with regional job boards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Bulk/high-volume hiring workflow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Interview scheduling &amp; calendar sync       |  1.0x  |    10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Offer management &amp; digital onboarding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Configurable per-market workflows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Candidate experience &amp; portal UI           |  1.0x  |    10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Mobile recruiter application               |  2.0x  |    20     |</w:t>
      </w:r>
    </w:p>
    <w:p>
      <w:pPr>
        <w:spacing w:before="80" w:after="60"/>
      </w:pPr>
      <w:r>
        <w:rPr>
          <w:sz w:val="20"/>
        </w:rPr>
        <w:t>Scoring Guide:</w:t>
      </w:r>
    </w:p>
    <w:p>
      <w:pPr>
        <w:spacing w:after="60"/>
      </w:pPr>
      <w:r>
        <w:rPr>
          <w:sz w:val="20"/>
        </w:rPr>
        <w:t>9-10 = Fully meets requirement with advanced features</w:t>
      </w:r>
    </w:p>
    <w:p>
      <w:pPr>
        <w:spacing w:after="60"/>
      </w:pPr>
      <w:r>
        <w:rPr>
          <w:sz w:val="20"/>
        </w:rPr>
        <w:t>7-8  = Meets requirement with minor gaps</w:t>
      </w:r>
    </w:p>
    <w:p>
      <w:pPr>
        <w:spacing w:after="60"/>
      </w:pPr>
      <w:r>
        <w:rPr>
          <w:sz w:val="20"/>
        </w:rPr>
        <w:t>5-6  = Partially meets; significant customisation required</w:t>
      </w:r>
    </w:p>
    <w:p>
      <w:pPr>
        <w:spacing w:after="60"/>
      </w:pPr>
      <w:r>
        <w:rPr>
          <w:sz w:val="20"/>
        </w:rPr>
        <w:t>3-4  = Minimal capability; major gaps</w:t>
      </w:r>
    </w:p>
    <w:p>
      <w:pPr>
        <w:spacing w:after="60"/>
      </w:pPr>
      <w:r>
        <w:rPr>
          <w:sz w:val="20"/>
        </w:rPr>
        <w:t>1-2  = Does not meet requirement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1.2 Workforce &amp; Temp Worker Management                       [Max: 100 pts]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Digital timesheet (mobile-first)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Shift scheduling &amp; assignment 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Leave management (MY/SG/AU compliant)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Worker self-service portal    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Multi-language support (BM, EN, ZH, TA)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Temp worker lifecycle management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1.3 Payroll Integration                                      [Max: 60 pts]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MY statutory deductions (EPF,SOCSO,EIS,PCB)|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SG CPF integration            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AU Superannuation &amp; STP2 compliance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Multi-currency support (MYR/SGD/AUD)       |  1.0x  |    10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1.4 Analytics &amp; Reporting                                    [Max: 70 pts]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Real-time recruitment dashboard 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Cross-market consolidated C-suite view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Compliance reporting per market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Export capabilities (Excel/PPT/PDF)        |  1.0x  |    10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Custom report builder                      |  1.0x  |    10     |</w:t>
      </w:r>
    </w:p>
    <w:p>
      <w:pPr>
        <w:spacing w:before="80" w:after="60"/>
      </w:pPr>
      <w:r>
        <w:rPr>
          <w:sz w:val="20"/>
        </w:rPr>
        <w:t>CATEGORY 2: TECHNICAL ARCHITECTURE &amp; SECURITY (150 points)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RESTful API completeness &amp; documentation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Azure AD / SSO integration      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Microsoft Teams integration   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Uptime SLA (99.9% minimum)      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Data encryption (at-rest and in-transit)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Disaster recovery &amp; business continuity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Scalability (handles 85K+ worker records)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Penetration testing &amp; security audits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ISO 27001 certification                    |  1.5x  |    15     |</w:t>
      </w:r>
    </w:p>
    <w:p>
      <w:pPr>
        <w:spacing w:before="80" w:after="60"/>
      </w:pPr>
      <w:r>
        <w:rPr>
          <w:sz w:val="20"/>
        </w:rPr>
        <w:t>Note: ISO 27001 is a PASS/FAIL requirement. Vendors not ISO 27001 certified</w:t>
      </w:r>
    </w:p>
    <w:p>
      <w:pPr>
        <w:spacing w:after="60"/>
      </w:pPr>
      <w:r>
        <w:rPr>
          <w:sz w:val="20"/>
        </w:rPr>
        <w:t>will be disqualified from further evaluation.</w:t>
      </w:r>
    </w:p>
    <w:p>
      <w:pPr>
        <w:spacing w:before="80" w:after="60"/>
      </w:pPr>
      <w:r>
        <w:rPr>
          <w:sz w:val="20"/>
        </w:rPr>
        <w:t>CATEGORY 3: COMPLIANCE &amp; DATA GOVERNANCE (100 points)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Malaysia PDPA 2010 compliance   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Singapore PDPA 2012 compliance  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Australia Privacy Act 1988 (APPs)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APAC data residency (SG or AU DC)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Data breach notification procedures        |  1.0x  |    10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GDPR alignment (for multinational clients) |  1.0x  |    10     |</w:t>
      </w:r>
    </w:p>
    <w:p>
      <w:pPr>
        <w:spacing w:before="80" w:after="60"/>
      </w:pPr>
      <w:r>
        <w:rPr>
          <w:sz w:val="20"/>
        </w:rPr>
        <w:t>CATEGORY 4: IMPLEMENTATION CAPABILITY (100 points)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APAC-based implementation team   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Phased rollout capability (MY→SG→AU)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Project management methodology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Training programme quality    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Data migration experience             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Hypercare support plan                     |  1.5x  |    15     |</w:t>
      </w:r>
    </w:p>
    <w:p>
      <w:pPr>
        <w:spacing w:before="80" w:after="60"/>
      </w:pPr>
      <w:r>
        <w:rPr>
          <w:sz w:val="20"/>
        </w:rPr>
        <w:t>CATEGORY 5: VENDOR STABILITY &amp; REFERENCES (100 points)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Years in operation (APAC presence)         |  1.0x  |    10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APAC HR/staffing client references (min 3) |  3.0x  |    30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Customer satisfaction score (avg)    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Financial stability (audited accounts)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Product roadmap &amp; innovation pipeline      |  2.0x  |    20     |</w:t>
      </w:r>
    </w:p>
    <w:p>
      <w:pPr>
        <w:spacing w:before="80" w:after="60"/>
      </w:pPr>
      <w:r>
        <w:rPr>
          <w:sz w:val="20"/>
        </w:rPr>
        <w:t>CATEGORY 6: COMMERCIAL PRICING (150 points)</w:t>
      </w:r>
    </w:p>
    <w:p>
      <w:pPr>
        <w:spacing w:before="80" w:after="60"/>
      </w:pPr>
      <w:r>
        <w:rPr>
          <w:sz w:val="20"/>
        </w:rPr>
        <w:t>Pricing Score = (Lowest Total Cost of Ownership / Vendor TCO) x 150</w:t>
      </w:r>
    </w:p>
    <w:p>
      <w:pPr>
        <w:spacing w:before="80" w:after="60"/>
      </w:pPr>
      <w:r>
        <w:rPr>
          <w:sz w:val="20"/>
        </w:rPr>
        <w:t>Total Cost of Ownership (TCO) includes:</w:t>
      </w:r>
    </w:p>
    <w:p>
      <w:pPr>
        <w:pStyle w:val="ListBullet"/>
        <w:ind w:left="283"/>
      </w:pPr>
      <w:r>
        <w:rPr>
          <w:sz w:val="20"/>
        </w:rPr>
        <w:t>Year 1: Implementation fee + Annual license fee + Training</w:t>
      </w:r>
    </w:p>
    <w:p>
      <w:pPr>
        <w:pStyle w:val="ListBullet"/>
        <w:ind w:left="283"/>
      </w:pPr>
      <w:r>
        <w:rPr>
          <w:sz w:val="20"/>
        </w:rPr>
        <w:t>Year 2-3: Annual license fee + Support</w:t>
      </w:r>
    </w:p>
    <w:p>
      <w:pPr>
        <w:pStyle w:val="ListBullet"/>
        <w:ind w:left="283"/>
      </w:pPr>
      <w:r>
        <w:rPr>
          <w:sz w:val="20"/>
        </w:rPr>
        <w:t>Optional modules pricing (if applicable)</w:t>
      </w:r>
    </w:p>
    <w:p>
      <w:pPr>
        <w:spacing w:before="80" w:after="60"/>
      </w:pPr>
      <w:r>
        <w:rPr>
          <w:sz w:val="20"/>
        </w:rPr>
        <w:t>Vendors must quote for 3 user tiers:</w:t>
      </w:r>
    </w:p>
    <w:p>
      <w:pPr>
        <w:pStyle w:val="ListBullet"/>
        <w:ind w:left="283"/>
      </w:pPr>
      <w:r>
        <w:rPr>
          <w:sz w:val="20"/>
        </w:rPr>
        <w:t>Tier 1: 50 recruiter seats, 500 hiring manager seats, 20,000 candidate records</w:t>
      </w:r>
    </w:p>
    <w:p>
      <w:pPr>
        <w:pStyle w:val="ListBullet"/>
        <w:ind w:left="283"/>
      </w:pPr>
      <w:r>
        <w:rPr>
          <w:sz w:val="20"/>
        </w:rPr>
        <w:t>Tier 2: 150 recruiter seats, 1,500 hiring manager seats, 80,000 candidate records</w:t>
      </w:r>
    </w:p>
    <w:p>
      <w:pPr>
        <w:pStyle w:val="ListBullet"/>
        <w:ind w:left="283"/>
      </w:pPr>
      <w:r>
        <w:rPr>
          <w:sz w:val="20"/>
        </w:rPr>
        <w:t>Tier 3: 300 recruiter seats, 3,000 hiring manager seats, 250,000 candidate records</w:t>
      </w:r>
    </w:p>
    <w:p>
      <w:pPr>
        <w:spacing w:before="80" w:after="60"/>
      </w:pPr>
      <w:r>
        <w:rPr>
          <w:sz w:val="20"/>
        </w:rPr>
        <w:t>Zava Procurement will evaluate on Tier 2 pricing as the primary benchmark.</w:t>
      </w:r>
    </w:p>
    <w:p>
      <w:pPr>
        <w:spacing w:before="80" w:after="60"/>
      </w:pPr>
      <w:r>
        <w:rPr>
          <w:sz w:val="20"/>
        </w:rPr>
        <w:t>CATEGORY 7: SUPPORT &amp; SERVICE LEVELS (50 points)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Sub-Criterion                              | Weight | Max Score |</w:t>
      </w:r>
    </w:p>
    <w:p>
      <w:pPr>
        <w:spacing w:after="60"/>
      </w:pPr>
      <w:r>
        <w:rPr>
          <w:sz w:val="20"/>
        </w:rPr>
        <w:t>|--------------------------------------------|--------|-----------|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Support hours (24/5 minimum required)      |  2.0x  |    20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Average response time for P1 incidents     |  1.5x  |    15     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Dedicated account manager (APAC)           |  1.5x  |    15     |</w:t>
      </w:r>
    </w:p>
    <w:p>
      <w:pPr>
        <w:spacing w:before="160" w:after="40"/>
      </w:pPr>
      <w:r>
        <w:rPr>
          <w:b/>
          <w:color w:val="1F4E79"/>
          <w:sz w:val="22"/>
        </w:rPr>
        <w:t>MANDATORY PASS/FAIL CRITERIA</w:t>
      </w:r>
    </w:p>
    <w:p>
      <w:pPr>
        <w:spacing w:before="80" w:after="60"/>
      </w:pPr>
      <w:r>
        <w:rPr>
          <w:sz w:val="20"/>
        </w:rPr>
        <w:t>Vendors failing ANY of the following will be automatically disqualified:</w:t>
      </w:r>
    </w:p>
    <w:p>
      <w:pPr>
        <w:spacing w:before="80" w:after="60"/>
      </w:pPr>
      <w:r>
        <w:rPr>
          <w:sz w:val="20"/>
        </w:rPr>
        <w:t>[ ] ISO 27001 certification (current, valid certificate required)</w:t>
      </w:r>
    </w:p>
    <w:p>
      <w:pPr>
        <w:spacing w:after="60"/>
      </w:pPr>
      <w:r>
        <w:rPr>
          <w:sz w:val="20"/>
        </w:rPr>
        <w:t>[ ] Minimum 3 APAC references from HR/staffing or related industry</w:t>
      </w:r>
    </w:p>
    <w:p>
      <w:pPr>
        <w:spacing w:after="60"/>
      </w:pPr>
      <w:r>
        <w:rPr>
          <w:sz w:val="20"/>
        </w:rPr>
        <w:t>[ ] APAC data residency capability (Singapore or Australia data centre)</w:t>
      </w:r>
    </w:p>
    <w:p>
      <w:pPr>
        <w:spacing w:after="60"/>
      </w:pPr>
      <w:r>
        <w:rPr>
          <w:sz w:val="20"/>
        </w:rPr>
        <w:t>[ ] Support for all 3 markets (MY, SG, AU) in single platform</w:t>
      </w:r>
    </w:p>
    <w:p>
      <w:pPr>
        <w:spacing w:after="60"/>
      </w:pPr>
      <w:r>
        <w:rPr>
          <w:sz w:val="20"/>
        </w:rPr>
        <w:t>[ ] Signed NDA submitted with proposal</w:t>
      </w:r>
    </w:p>
    <w:p>
      <w:pPr>
        <w:spacing w:before="160" w:after="40"/>
      </w:pPr>
      <w:r>
        <w:rPr>
          <w:b/>
          <w:color w:val="1F4E79"/>
          <w:sz w:val="22"/>
        </w:rPr>
        <w:t>SCORE BANDS &amp; RECOMMENDATION THRESHOLDS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Total Score | Recommendation                  |</w:t>
      </w:r>
    </w:p>
    <w:p>
      <w:pPr>
        <w:spacing w:after="60"/>
      </w:pPr>
      <w:r>
        <w:rPr>
          <w:sz w:val="20"/>
        </w:rPr>
        <w:t>|-------------|----------------------------------|</w:t>
      </w:r>
    </w:p>
    <w:p>
      <w:pPr>
        <w:spacing w:after="60"/>
      </w:pPr>
      <w:r>
        <w:rPr>
          <w:sz w:val="20"/>
        </w:rPr>
        <w:t>| 850 – 1000  | Strongly Recommended – Proceed  |</w:t>
      </w:r>
    </w:p>
    <w:p>
      <w:pPr>
        <w:spacing w:after="60"/>
      </w:pPr>
      <w:r>
        <w:rPr>
          <w:sz w:val="20"/>
        </w:rPr>
        <w:t>| 700 – 849   | Recommended – Proceed to Demo   |</w:t>
      </w:r>
    </w:p>
    <w:p>
      <w:pPr>
        <w:spacing w:after="60"/>
      </w:pPr>
      <w:r>
        <w:rPr>
          <w:sz w:val="20"/>
        </w:rPr>
        <w:t>| 550 – 699   | Conditional – Clarifications Req|</w:t>
      </w:r>
    </w:p>
    <w:p>
      <w:pPr>
        <w:spacing w:before="20" w:after="20"/>
        <w:shd w:val="clear" w:color="auto" w:fill="F7F7F7"/>
      </w:pPr>
      <w:r>
        <w:rPr>
          <w:rFonts w:ascii="Courier New" w:hAnsi="Courier New"/>
          <w:color w:val="202020"/>
          <w:sz w:val="17"/>
        </w:rPr>
        <w:t>| Below 550   | Not Recommended                 |</w:t>
      </w:r>
    </w:p>
    <w:p>
      <w:pPr>
        <w:spacing w:before="160" w:after="40"/>
      </w:pPr>
      <w:r>
        <w:rPr>
          <w:b/>
          <w:color w:val="1F4E79"/>
          <w:sz w:val="22"/>
        </w:rPr>
        <w:t>END OF EVALUATION CRITERIA DOCUMENT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