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Campaign Brief — Campaign Brief</w:t>
      </w:r>
    </w:p>
    <w:p>
      <w:r>
        <w:rPr>
          <w:i/>
        </w:rPr>
        <w:t>Document owner: Campaign Brief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campaign brief use case in the campaign brief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campaign brief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campaign brief portfolio has surfaced a mix of on-track lines and corrective items. This campaign brief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Campaign Plan tab of the companion workbook. Headline metrics — Reach M, Frequency, Engagement % — are within the agreed corridors for Awareness, Consideration, and Conversion; outside the corridor for Retention and Advocacy; and under recovery monitoring for Brand.</w:t>
      </w:r>
    </w:p>
    <w:p>
      <w:pPr>
        <w:pStyle w:val="Heading2"/>
      </w:pPr>
      <w:r>
        <w:t>3.2 Key drivers</w:t>
      </w:r>
    </w:p>
    <w:p>
      <w:r>
        <w:t>The driver bridge (see Channel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Creative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campaign brief narrative with the Campaign Brief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Awareness</w:t>
      </w:r>
    </w:p>
    <w:p>
      <w:pPr>
        <w:pStyle w:val="ListBullet"/>
      </w:pPr>
      <w:r>
        <w:t>Consideration</w:t>
      </w:r>
    </w:p>
    <w:p>
      <w:pPr>
        <w:pStyle w:val="ListBullet"/>
      </w:pPr>
      <w:r>
        <w:t>Conversion</w:t>
      </w:r>
    </w:p>
    <w:p>
      <w:pPr>
        <w:pStyle w:val="ListBullet"/>
      </w:pPr>
      <w:r>
        <w:t>Retention</w:t>
      </w:r>
    </w:p>
    <w:p>
      <w:pPr>
        <w:pStyle w:val="ListBullet"/>
      </w:pPr>
      <w:r>
        <w:t>Advocacy</w:t>
      </w:r>
    </w:p>
    <w:p>
      <w:pPr>
        <w:pStyle w:val="ListBullet"/>
      </w:pPr>
      <w:r>
        <w:t>Brand</w:t>
      </w:r>
    </w:p>
    <w:p>
      <w:pPr>
        <w:pStyle w:val="ListBullet"/>
      </w:pPr>
      <w:r>
        <w:t>Performance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Campaign Brief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