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E-commerce — ECOM Last Sale Postmortem</w:t>
      </w:r>
    </w:p>
    <w:p>
      <w:r>
        <w:rPr>
          <w:i/>
        </w:rPr>
        <w:t>Document owner: E-commerce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ecom last sale postmortem use case in the e-commerce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e-commerce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e-commerce portfolio has surfaced a mix of on-track lines and corrective items. This ecom last sale postmortem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Sale Funnel tab of the companion workbook. Headline metrics — GMV MYR M, Take Rate %, MAU k — are within the agreed corridors for Electronics, Fashion, and Beauty; outside the corridor for Grocery and Home; and under recovery monitoring for Toys.</w:t>
      </w:r>
    </w:p>
    <w:p>
      <w:pPr>
        <w:pStyle w:val="Heading2"/>
      </w:pPr>
      <w:r>
        <w:t>3.2 Key drivers</w:t>
      </w:r>
    </w:p>
    <w:p>
      <w:r>
        <w:t>The driver bridge (see Post-mortem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Action Owners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ecom last sale postmortem narrative with the E-commerce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Electronics</w:t>
      </w:r>
    </w:p>
    <w:p>
      <w:pPr>
        <w:pStyle w:val="ListBullet"/>
      </w:pPr>
      <w:r>
        <w:t>Fashion</w:t>
      </w:r>
    </w:p>
    <w:p>
      <w:pPr>
        <w:pStyle w:val="ListBullet"/>
      </w:pPr>
      <w:r>
        <w:t>Beauty</w:t>
      </w:r>
    </w:p>
    <w:p>
      <w:pPr>
        <w:pStyle w:val="ListBullet"/>
      </w:pPr>
      <w:r>
        <w:t>Grocery</w:t>
      </w:r>
    </w:p>
    <w:p>
      <w:pPr>
        <w:pStyle w:val="ListBullet"/>
      </w:pPr>
      <w:r>
        <w:t>Home</w:t>
      </w:r>
    </w:p>
    <w:p>
      <w:pPr>
        <w:pStyle w:val="ListBullet"/>
      </w:pPr>
      <w:r>
        <w:t>Toys</w:t>
      </w:r>
    </w:p>
    <w:p>
      <w:pPr>
        <w:pStyle w:val="ListBullet"/>
      </w:pPr>
      <w:r>
        <w:t>Cross-border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E-commerce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