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Food &amp; FMCG — FMCG Brand Strategy</w:t>
      </w:r>
    </w:p>
    <w:p>
      <w:r>
        <w:rPr>
          <w:i/>
        </w:rPr>
        <w:t>Document owner: Food &amp; FMCG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fmcg brand strategy use case in the food &amp; fmcg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food &amp; fmcg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food &amp; fmcg portfolio has surfaced a mix of on-track lines and corrective items. This fmcg brand strategy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Brand Snapshot tab of the companion workbook. Headline metrics — Market Share %, GP %, Volume k cs — are within the agreed corridors for Brand A, Brand B, and Brand C; outside the corridor for Brand D and Brand E; and under recovery monitoring for Modern Trade.</w:t>
      </w:r>
    </w:p>
    <w:p>
      <w:pPr>
        <w:pStyle w:val="Heading2"/>
      </w:pPr>
      <w:r>
        <w:t>3.2 Key drivers</w:t>
      </w:r>
    </w:p>
    <w:p>
      <w:r>
        <w:t>The driver bridge (see Channel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Risk Watchlist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fmcg brand strategy narrative with the Food &amp; FMCG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Brand A</w:t>
      </w:r>
    </w:p>
    <w:p>
      <w:pPr>
        <w:pStyle w:val="ListBullet"/>
      </w:pPr>
      <w:r>
        <w:t>Brand B</w:t>
      </w:r>
    </w:p>
    <w:p>
      <w:pPr>
        <w:pStyle w:val="ListBullet"/>
      </w:pPr>
      <w:r>
        <w:t>Brand C</w:t>
      </w:r>
    </w:p>
    <w:p>
      <w:pPr>
        <w:pStyle w:val="ListBullet"/>
      </w:pPr>
      <w:r>
        <w:t>Brand D</w:t>
      </w:r>
    </w:p>
    <w:p>
      <w:pPr>
        <w:pStyle w:val="ListBullet"/>
      </w:pPr>
      <w:r>
        <w:t>Brand E</w:t>
      </w:r>
    </w:p>
    <w:p>
      <w:pPr>
        <w:pStyle w:val="ListBullet"/>
      </w:pPr>
      <w:r>
        <w:t>Modern Trade</w:t>
      </w:r>
    </w:p>
    <w:p>
      <w:pPr>
        <w:pStyle w:val="ListBullet"/>
      </w:pPr>
      <w:r>
        <w:t>Traditional Trade</w:t>
      </w:r>
    </w:p>
    <w:p>
      <w:pPr>
        <w:pStyle w:val="ListBullet"/>
      </w:pPr>
      <w:r>
        <w:t>Group Total</w:t>
      </w:r>
    </w:p>
    <w:p>
      <w:pPr>
        <w:pStyle w:val="Heading1"/>
      </w:pPr>
      <w:r>
        <w:t>6. Sign-off &amp; Distribution</w:t>
      </w:r>
    </w:p>
    <w:p>
      <w:r>
        <w:t>Prepared by: Food &amp; FMCG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