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Rubber Gloves — GLV Change Control</w:t>
      </w:r>
    </w:p>
    <w:p>
      <w:r>
        <w:rPr>
          <w:i/>
        </w:rPr>
        <w:t>Document owner: Rubber Gloves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glv change control use case in the rubber gloves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rubber gloves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rubber gloves portfolio has surfaced a mix of on-track lines and corrective items. This glv change control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Plant Snapshot tab of the companion workbook. Headline metrics — OEE %, Reject ppm, Capacity MT — are within the agreed corridors for Plant 1, Plant 2, and Plant 3; outside the corridor for Plant 4 and Plant 5; and under recovery monitoring for Plant 6.</w:t>
      </w:r>
    </w:p>
    <w:p>
      <w:pPr>
        <w:pStyle w:val="Heading2"/>
      </w:pPr>
      <w:r>
        <w:t>3.2 Key drivers</w:t>
      </w:r>
    </w:p>
    <w:p>
      <w:r>
        <w:t>The driver bridge (see Yield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Change Control Log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glv change control narrative with the Rubber Gloves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Plant 1</w:t>
      </w:r>
    </w:p>
    <w:p>
      <w:pPr>
        <w:pStyle w:val="ListBullet"/>
      </w:pPr>
      <w:r>
        <w:t>Plant 2</w:t>
      </w:r>
    </w:p>
    <w:p>
      <w:pPr>
        <w:pStyle w:val="ListBullet"/>
      </w:pPr>
      <w:r>
        <w:t>Plant 3</w:t>
      </w:r>
    </w:p>
    <w:p>
      <w:pPr>
        <w:pStyle w:val="ListBullet"/>
      </w:pPr>
      <w:r>
        <w:t>Plant 4</w:t>
      </w:r>
    </w:p>
    <w:p>
      <w:pPr>
        <w:pStyle w:val="ListBullet"/>
      </w:pPr>
      <w:r>
        <w:t>Plant 5</w:t>
      </w:r>
    </w:p>
    <w:p>
      <w:pPr>
        <w:pStyle w:val="ListBullet"/>
      </w:pPr>
      <w:r>
        <w:t>Plant 6</w:t>
      </w:r>
    </w:p>
    <w:p>
      <w:pPr>
        <w:pStyle w:val="ListBullet"/>
      </w:pPr>
      <w:r>
        <w:t>Plant 7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Rubber Gloves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