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Crisis Channel Log — INC Wartime Channel Log</w:t>
      </w:r>
    </w:p>
    <w:p>
      <w:r>
        <w:rPr>
          <w:i/>
        </w:rPr>
        <w:t>Document owner: Crisis Channel Log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inc wartime channel log use case in the crisis channel log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crisis channel log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crisis channel log portfolio has surfaced a mix of on-track lines and corrective items. This inc wartime channel log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Channel Log tab of the companion workbook. Headline metrics — Posts, Threads, Open Items — are within the agreed corridors for Wartime-General, Ops, and Comms; outside the corridor for Legal and Regulator; and under recovery monitoring for Customer.</w:t>
      </w:r>
    </w:p>
    <w:p>
      <w:pPr>
        <w:pStyle w:val="Heading2"/>
      </w:pPr>
      <w:r>
        <w:t>3.2 Key drivers</w:t>
      </w:r>
    </w:p>
    <w:p>
      <w:r>
        <w:t>The driver bridge (see Decision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Action Items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inc wartime channel log narrative with the Crisis Channel Log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Wartime-General</w:t>
      </w:r>
    </w:p>
    <w:p>
      <w:pPr>
        <w:pStyle w:val="ListBullet"/>
      </w:pPr>
      <w:r>
        <w:t>Ops</w:t>
      </w:r>
    </w:p>
    <w:p>
      <w:pPr>
        <w:pStyle w:val="ListBullet"/>
      </w:pPr>
      <w:r>
        <w:t>Comms</w:t>
      </w:r>
    </w:p>
    <w:p>
      <w:pPr>
        <w:pStyle w:val="ListBullet"/>
      </w:pPr>
      <w:r>
        <w:t>Legal</w:t>
      </w:r>
    </w:p>
    <w:p>
      <w:pPr>
        <w:pStyle w:val="ListBullet"/>
      </w:pPr>
      <w:r>
        <w:t>Regulator</w:t>
      </w:r>
    </w:p>
    <w:p>
      <w:pPr>
        <w:pStyle w:val="ListBullet"/>
      </w:pPr>
      <w:r>
        <w:t>Customer</w:t>
      </w:r>
    </w:p>
    <w:p>
      <w:pPr>
        <w:pStyle w:val="ListBullet"/>
      </w:pPr>
      <w:r>
        <w:t>Vendor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Crisis Channel Log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