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Investor Relations — IR Group Strategy</w:t>
      </w:r>
    </w:p>
    <w:p>
      <w:r>
        <w:rPr>
          <w:i/>
        </w:rPr>
        <w:t>Document owner: Investor Relations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ir group strategy use case in the investor relations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investor relations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investor relations portfolio has surfaced a mix of on-track lines and corrective items. This ir group strategy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Strategy Frame tab of the companion workbook. Headline metrics — Active Holders, Targeted Holders, Meetings — are within the agreed corridors for Long-only, Hedge, and Index; outside the corridor for Sovereign and Retail; and under recovery monitoring for Coverage Buy.</w:t>
      </w:r>
    </w:p>
    <w:p>
      <w:pPr>
        <w:pStyle w:val="Heading2"/>
      </w:pPr>
      <w:r>
        <w:t>3.2 Key drivers</w:t>
      </w:r>
    </w:p>
    <w:p>
      <w:r>
        <w:t>The driver bridge (see Disclosure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Holder Watchlist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ir group strategy narrative with the Investor Relations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Long-only</w:t>
      </w:r>
    </w:p>
    <w:p>
      <w:pPr>
        <w:pStyle w:val="ListBullet"/>
      </w:pPr>
      <w:r>
        <w:t>Hedge</w:t>
      </w:r>
    </w:p>
    <w:p>
      <w:pPr>
        <w:pStyle w:val="ListBullet"/>
      </w:pPr>
      <w:r>
        <w:t>Index</w:t>
      </w:r>
    </w:p>
    <w:p>
      <w:pPr>
        <w:pStyle w:val="ListBullet"/>
      </w:pPr>
      <w:r>
        <w:t>Sovereign</w:t>
      </w:r>
    </w:p>
    <w:p>
      <w:pPr>
        <w:pStyle w:val="ListBullet"/>
      </w:pPr>
      <w:r>
        <w:t>Retail</w:t>
      </w:r>
    </w:p>
    <w:p>
      <w:pPr>
        <w:pStyle w:val="ListBullet"/>
      </w:pPr>
      <w:r>
        <w:t>Coverage Buy</w:t>
      </w:r>
    </w:p>
    <w:p>
      <w:pPr>
        <w:pStyle w:val="ListBullet"/>
      </w:pPr>
      <w:r>
        <w:t>Coverage Sell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Investor Relations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