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IT Incident — IT Incident Timeline</w:t>
      </w:r>
    </w:p>
    <w:p>
      <w:r>
        <w:rPr>
          <w:i/>
        </w:rPr>
        <w:t>Document owner: IT Incident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it incident timeline use case in the it incident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it incident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it incident portfolio has surfaced a mix of on-track lines and corrective items. This it incident timeline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Incident Timeline tab of the companion workbook. Headline metrics — Sev1 Open, MTTR mins, SLA Met % — are within the agreed corridors for Network, Compute, and Storage; outside the corridor for DB and Application; and under recovery monitoring for Security.</w:t>
      </w:r>
    </w:p>
    <w:p>
      <w:pPr>
        <w:pStyle w:val="Heading2"/>
      </w:pPr>
      <w:r>
        <w:t>3.2 Key drivers</w:t>
      </w:r>
    </w:p>
    <w:p>
      <w:r>
        <w:t>The driver bridge (see Root-cause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Resolution Tracker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it incident timeline narrative with the IT Incident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Network</w:t>
      </w:r>
    </w:p>
    <w:p>
      <w:pPr>
        <w:pStyle w:val="ListBullet"/>
      </w:pPr>
      <w:r>
        <w:t>Compute</w:t>
      </w:r>
    </w:p>
    <w:p>
      <w:pPr>
        <w:pStyle w:val="ListBullet"/>
      </w:pPr>
      <w:r>
        <w:t>Storage</w:t>
      </w:r>
    </w:p>
    <w:p>
      <w:pPr>
        <w:pStyle w:val="ListBullet"/>
      </w:pPr>
      <w:r>
        <w:t>DB</w:t>
      </w:r>
    </w:p>
    <w:p>
      <w:pPr>
        <w:pStyle w:val="ListBullet"/>
      </w:pPr>
      <w:r>
        <w:t>Application</w:t>
      </w:r>
    </w:p>
    <w:p>
      <w:pPr>
        <w:pStyle w:val="ListBullet"/>
      </w:pPr>
      <w:r>
        <w:t>Security</w:t>
      </w:r>
    </w:p>
    <w:p>
      <w:pPr>
        <w:pStyle w:val="ListBullet"/>
      </w:pPr>
      <w:r>
        <w:t>Cloud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IT Incident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