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Media / Marketing — MEDIA Campaign Brief</w:t>
      </w:r>
    </w:p>
    <w:p>
      <w:r>
        <w:rPr>
          <w:i/>
        </w:rPr>
        <w:t>Document owner: Media / Marketing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media campaign brief use case in the media / marketing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media / marketing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media / marketing portfolio has surfaced a mix of on-track lines and corrective items. This media campaign brief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Campaign Brief tab of the companion workbook. Headline metrics — Reach M, CPM MYR, Engagement % — are within the agreed corridors for Search, Social, and Display; outside the corridor for Video and OOH; and under recovery monitoring for TV.</w:t>
      </w:r>
    </w:p>
    <w:p>
      <w:pPr>
        <w:pStyle w:val="Heading2"/>
      </w:pPr>
      <w:r>
        <w:t>3.2 Key drivers</w:t>
      </w:r>
    </w:p>
    <w:p>
      <w:r>
        <w:t>The driver bridge (see Channel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Creative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media campaign brief narrative with the Media / Marketing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Search</w:t>
      </w:r>
    </w:p>
    <w:p>
      <w:pPr>
        <w:pStyle w:val="ListBullet"/>
      </w:pPr>
      <w:r>
        <w:t>Social</w:t>
      </w:r>
    </w:p>
    <w:p>
      <w:pPr>
        <w:pStyle w:val="ListBullet"/>
      </w:pPr>
      <w:r>
        <w:t>Display</w:t>
      </w:r>
    </w:p>
    <w:p>
      <w:pPr>
        <w:pStyle w:val="ListBullet"/>
      </w:pPr>
      <w:r>
        <w:t>Video</w:t>
      </w:r>
    </w:p>
    <w:p>
      <w:pPr>
        <w:pStyle w:val="ListBullet"/>
      </w:pPr>
      <w:r>
        <w:t>OOH</w:t>
      </w:r>
    </w:p>
    <w:p>
      <w:pPr>
        <w:pStyle w:val="ListBullet"/>
      </w:pPr>
      <w:r>
        <w:t>TV</w:t>
      </w:r>
    </w:p>
    <w:p>
      <w:pPr>
        <w:pStyle w:val="ListBullet"/>
      </w:pPr>
      <w:r>
        <w:t>Influencer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Media / Marketing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