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Marketing Brand — MKT Brand Strategy</w:t>
      </w:r>
    </w:p>
    <w:p>
      <w:r>
        <w:rPr>
          <w:i/>
        </w:rPr>
        <w:t>Document owner: Marketing Brand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mkt brand strategy use case in the marketing brand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marketing brand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marketing brand portfolio has surfaced a mix of on-track lines and corrective items. This mkt brand strategy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Brand Strategy tab of the companion workbook. Headline metrics — Brand Score, SOV %, NPS — are within the agreed corridors for Master Brand, Sub-brand A, and Sub-brand B; outside the corridor for Sub-brand C and Innovation; and under recovery monitoring for Loyalty.</w:t>
      </w:r>
    </w:p>
    <w:p>
      <w:pPr>
        <w:pStyle w:val="Heading2"/>
      </w:pPr>
      <w:r>
        <w:t>3.2 Key drivers</w:t>
      </w:r>
    </w:p>
    <w:p>
      <w:r>
        <w:t>The driver bridge (see Funnel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Activation Watchlist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mkt brand strategy narrative with the Marketing Brand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Master Brand</w:t>
      </w:r>
    </w:p>
    <w:p>
      <w:pPr>
        <w:pStyle w:val="ListBullet"/>
      </w:pPr>
      <w:r>
        <w:t>Sub-brand A</w:t>
      </w:r>
    </w:p>
    <w:p>
      <w:pPr>
        <w:pStyle w:val="ListBullet"/>
      </w:pPr>
      <w:r>
        <w:t>Sub-brand B</w:t>
      </w:r>
    </w:p>
    <w:p>
      <w:pPr>
        <w:pStyle w:val="ListBullet"/>
      </w:pPr>
      <w:r>
        <w:t>Sub-brand C</w:t>
      </w:r>
    </w:p>
    <w:p>
      <w:pPr>
        <w:pStyle w:val="ListBullet"/>
      </w:pPr>
      <w:r>
        <w:t>Innovation</w:t>
      </w:r>
    </w:p>
    <w:p>
      <w:pPr>
        <w:pStyle w:val="ListBullet"/>
      </w:pPr>
      <w:r>
        <w:t>Loyalty</w:t>
      </w:r>
    </w:p>
    <w:p>
      <w:pPr>
        <w:pStyle w:val="ListBullet"/>
      </w:pPr>
      <w:r>
        <w:t>New-to-brand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Marketing Brand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