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Pharmaceutical — PHA Change Control Package</w:t>
      </w:r>
    </w:p>
    <w:p>
      <w:r>
        <w:rPr>
          <w:i/>
        </w:rPr>
        <w:t>Document owner: Pharmaceutical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pha change control package use case in the pharmaceutical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pharmaceutical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pharmaceutical portfolio has surfaced a mix of on-track lines and corrective items. This pha change control package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Change Control Pack tab of the companion workbook. Headline metrics — Yield %, Reject ppm, OOS Open — are within the agreed corridors for Vial Line, Tablet Line, and Capsule Line; outside the corridor for Liquid Line and Packaging; and under recovery monitoring for QC Lab.</w:t>
      </w:r>
    </w:p>
    <w:p>
      <w:pPr>
        <w:pStyle w:val="Heading2"/>
      </w:pPr>
      <w:r>
        <w:t>3.2 Key drivers</w:t>
      </w:r>
    </w:p>
    <w:p>
      <w:r>
        <w:t>The driver bridge (see Deviation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CAPA Tracker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pha change control package narrative with the Pharmaceutical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Vial Line</w:t>
      </w:r>
    </w:p>
    <w:p>
      <w:pPr>
        <w:pStyle w:val="ListBullet"/>
      </w:pPr>
      <w:r>
        <w:t>Tablet Line</w:t>
      </w:r>
    </w:p>
    <w:p>
      <w:pPr>
        <w:pStyle w:val="ListBullet"/>
      </w:pPr>
      <w:r>
        <w:t>Capsule Line</w:t>
      </w:r>
    </w:p>
    <w:p>
      <w:pPr>
        <w:pStyle w:val="ListBullet"/>
      </w:pPr>
      <w:r>
        <w:t>Liquid Line</w:t>
      </w:r>
    </w:p>
    <w:p>
      <w:pPr>
        <w:pStyle w:val="ListBullet"/>
      </w:pPr>
      <w:r>
        <w:t>Packaging</w:t>
      </w:r>
    </w:p>
    <w:p>
      <w:pPr>
        <w:pStyle w:val="ListBullet"/>
      </w:pPr>
      <w:r>
        <w:t>QC Lab</w:t>
      </w:r>
    </w:p>
    <w:p>
      <w:pPr>
        <w:pStyle w:val="ListBullet"/>
      </w:pPr>
      <w:r>
        <w:t>Warehouse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Pharmaceutical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