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Regulator Risk — REG Entity Risk Profile</w:t>
      </w:r>
    </w:p>
    <w:p>
      <w:r>
        <w:rPr>
          <w:i/>
        </w:rPr>
        <w:t>Document owner: Regulator Risk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reg entity risk profile use case in the regulator risk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regulator risk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regulator risk portfolio has surfaced a mix of on-track lines and corrective items. This reg entity risk profile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Entity Risk Profile tab of the companion workbook. Headline metrics — Open Issues, Escalations, Days Open — are within the agreed corridors for Banking, Insurance, and Capital Markets; outside the corridor for Payments and Crypto; and under recovery monitoring for Fintech.</w:t>
      </w:r>
    </w:p>
    <w:p>
      <w:pPr>
        <w:pStyle w:val="Heading2"/>
      </w:pPr>
      <w:r>
        <w:t>3.2 Key drivers</w:t>
      </w:r>
    </w:p>
    <w:p>
      <w:r>
        <w:t>The driver bridge (see Risk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Action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reg entity risk profile narrative with the Regulator Risk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Banking</w:t>
      </w:r>
    </w:p>
    <w:p>
      <w:pPr>
        <w:pStyle w:val="ListBullet"/>
      </w:pPr>
      <w:r>
        <w:t>Insurance</w:t>
      </w:r>
    </w:p>
    <w:p>
      <w:pPr>
        <w:pStyle w:val="ListBullet"/>
      </w:pPr>
      <w:r>
        <w:t>Capital Markets</w:t>
      </w:r>
    </w:p>
    <w:p>
      <w:pPr>
        <w:pStyle w:val="ListBullet"/>
      </w:pPr>
      <w:r>
        <w:t>Payments</w:t>
      </w:r>
    </w:p>
    <w:p>
      <w:pPr>
        <w:pStyle w:val="ListBullet"/>
      </w:pPr>
      <w:r>
        <w:t>Crypto</w:t>
      </w:r>
    </w:p>
    <w:p>
      <w:pPr>
        <w:pStyle w:val="ListBullet"/>
      </w:pPr>
      <w:r>
        <w:t>Fintech</w:t>
      </w:r>
    </w:p>
    <w:p>
      <w:pPr>
        <w:pStyle w:val="ListBullet"/>
      </w:pPr>
      <w:r>
        <w:t>SI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Regulator Risk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