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Rare Earth Export — RE Export Application Form</w:t>
      </w:r>
    </w:p>
    <w:p>
      <w:r>
        <w:rPr>
          <w:i/>
        </w:rPr>
        <w:t>Document owner: Rare Earth Export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re export application form use case in the rare earth export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rare earth export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rare earth export portfolio has surfaced a mix of on-track lines and corrective items. This re export application form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Export Application tab of the companion workbook. Headline metrics — Tonnage MT, REE Grade %, Export Value MYR M — are within the agreed corridors for LREE, MREE, and HREE; outside the corridor for Concentrate and Mixed Carbonate; and under recovery monitoring for Oxide.</w:t>
      </w:r>
    </w:p>
    <w:p>
      <w:pPr>
        <w:pStyle w:val="Heading2"/>
      </w:pPr>
      <w:r>
        <w:t>3.2 Key drivers</w:t>
      </w:r>
    </w:p>
    <w:p>
      <w:r>
        <w:t>The driver bridge (see Volume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Permit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re export application form narrative with the Rare Earth Export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LREE</w:t>
      </w:r>
    </w:p>
    <w:p>
      <w:pPr>
        <w:pStyle w:val="ListBullet"/>
      </w:pPr>
      <w:r>
        <w:t>MREE</w:t>
      </w:r>
    </w:p>
    <w:p>
      <w:pPr>
        <w:pStyle w:val="ListBullet"/>
      </w:pPr>
      <w:r>
        <w:t>HREE</w:t>
      </w:r>
    </w:p>
    <w:p>
      <w:pPr>
        <w:pStyle w:val="ListBullet"/>
      </w:pPr>
      <w:r>
        <w:t>Concentrate</w:t>
      </w:r>
    </w:p>
    <w:p>
      <w:pPr>
        <w:pStyle w:val="ListBullet"/>
      </w:pPr>
      <w:r>
        <w:t>Mixed Carbonate</w:t>
      </w:r>
    </w:p>
    <w:p>
      <w:pPr>
        <w:pStyle w:val="ListBullet"/>
      </w:pPr>
      <w:r>
        <w:t>Oxide</w:t>
      </w:r>
    </w:p>
    <w:p>
      <w:pPr>
        <w:pStyle w:val="ListBullet"/>
      </w:pPr>
      <w:r>
        <w:t>Metal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Rare Earth Export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