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Risk / RAS — RSK Current RAS</w:t>
      </w:r>
    </w:p>
    <w:p>
      <w:r>
        <w:rPr>
          <w:i/>
        </w:rPr>
        <w:t>Document owner: Risk / RAS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rsk current ras use case in the risk / ras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risk / ras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risk / ras portfolio has surfaced a mix of on-track lines and corrective items. This rsk current ras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Current RAS tab of the companion workbook. Headline metrics — RWA MYR B, VaR MYR M, Concentration % — are within the agreed corridors for Credit, Market, and Operational; outside the corridor for Liquidity and Climate; and under recovery monitoring for Conduct.</w:t>
      </w:r>
    </w:p>
    <w:p>
      <w:pPr>
        <w:pStyle w:val="Heading2"/>
      </w:pPr>
      <w:r>
        <w:t>3.2 Key drivers</w:t>
      </w:r>
    </w:p>
    <w:p>
      <w:r>
        <w:t>The driver bridge (see Risk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Concentration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rsk current ras narrative with the Risk / RAS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Credit</w:t>
      </w:r>
    </w:p>
    <w:p>
      <w:pPr>
        <w:pStyle w:val="ListBullet"/>
      </w:pPr>
      <w:r>
        <w:t>Market</w:t>
      </w:r>
    </w:p>
    <w:p>
      <w:pPr>
        <w:pStyle w:val="ListBullet"/>
      </w:pPr>
      <w:r>
        <w:t>Operational</w:t>
      </w:r>
    </w:p>
    <w:p>
      <w:pPr>
        <w:pStyle w:val="ListBullet"/>
      </w:pPr>
      <w:r>
        <w:t>Liquidity</w:t>
      </w:r>
    </w:p>
    <w:p>
      <w:pPr>
        <w:pStyle w:val="ListBullet"/>
      </w:pPr>
      <w:r>
        <w:t>Climate</w:t>
      </w:r>
    </w:p>
    <w:p>
      <w:pPr>
        <w:pStyle w:val="ListBullet"/>
      </w:pPr>
      <w:r>
        <w:t>Conduct</w:t>
      </w:r>
    </w:p>
    <w:p>
      <w:pPr>
        <w:pStyle w:val="ListBullet"/>
      </w:pPr>
      <w:r>
        <w:t>Compliance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Risk / RAS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